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2.png" ContentType="image/png"/>
  <Override PartName="/word/media/rId57.png" ContentType="image/png"/>
  <Override PartName="/word/media/rId61.png" ContentType="image/png"/>
  <Override PartName="/word/media/rId86.png" ContentType="image/png"/>
  <Override PartName="/word/media/rId67.png" ContentType="image/png"/>
  <Override PartName="/word/media/rId75.png" ContentType="image/png"/>
  <Override PartName="/word/media/rId71.png" ContentType="image/png"/>
  <Override PartName="/word/media/rId80.png" ContentType="image/png"/>
  <Override PartName="/word/media/rId95.png" ContentType="image/png"/>
  <Override PartName="/word/media/rId30.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Density</w:t>
      </w:r>
      <w:r>
        <w:t xml:space="preserve"> </w:t>
      </w:r>
      <w:r>
        <w:t xml:space="preserve">in</w:t>
      </w:r>
      <w:r>
        <w:t xml:space="preserve"> </w:t>
      </w:r>
      <w:r>
        <w:t xml:space="preserve">a</w:t>
      </w:r>
      <w:r>
        <w:t xml:space="preserve"> </w:t>
      </w:r>
      <w:r>
        <w:t xml:space="preserve">Subalpine</w:t>
      </w:r>
      <w:r>
        <w:t xml:space="preserve"> </w:t>
      </w:r>
      <w:r>
        <w:t xml:space="preserve">Forest</w:t>
      </w:r>
    </w:p>
    <w:p>
      <w:pPr>
        <w:pStyle w:val="FirstParagraph"/>
      </w:pPr>
      <w:r>
        <w:rPr>
          <w:b/>
          <w:bCs/>
        </w:rPr>
        <w:t xml:space="preserve">Authors:</w:t>
      </w:r>
    </w:p>
    <w:p>
      <w:pPr>
        <w:pStyle w:val="BodyText"/>
      </w:pPr>
      <w:r>
        <w:t xml:space="preserve">Alex C. Cebulski</w:t>
      </w:r>
      <w:r>
        <w:rPr>
          <w:vertAlign w:val="superscript"/>
        </w:rPr>
        <w:t xml:space="preserve">1</w:t>
      </w:r>
      <w:r>
        <w:t xml:space="preserve"> </w:t>
      </w:r>
      <w:r>
        <w:t xml:space="preserve">(ORCID ID - 0000-0001-7910-5056)</w:t>
      </w:r>
    </w:p>
    <w:p>
      <w:pPr>
        <w:pStyle w:val="BodyText"/>
      </w:pPr>
      <w:r>
        <w:t xml:space="preserve">John W. Pomeroy</w:t>
      </w:r>
      <w:r>
        <w:rPr>
          <w:vertAlign w:val="superscript"/>
        </w:rPr>
        <w:t xml:space="preserve">1</w:t>
      </w:r>
      <w:r>
        <w:t xml:space="preserve"> </w:t>
      </w:r>
      <w:r>
        <w:t xml:space="preserve">(ORCID ID - 0000-0002-4782-7457)</w:t>
      </w:r>
    </w:p>
    <w:p>
      <w:pPr>
        <w:pStyle w:val="BodyText"/>
      </w:pPr>
      <w:r>
        <w:rPr>
          <w:vertAlign w:val="superscript"/>
        </w:rPr>
        <w:t xml:space="preserve">1</w:t>
      </w:r>
      <w:r>
        <w:t xml:space="preserve">Centre for Hydrology, University of Saskatchewan, Saskatoon, Saskatchewan, Canada</w:t>
      </w:r>
    </w:p>
    <w:p>
      <w:pPr>
        <w:pStyle w:val="BodyText"/>
      </w:pPr>
      <w:r>
        <w:rPr>
          <w:b/>
          <w:bCs/>
        </w:rPr>
        <w:t xml:space="preserve">Corresponding Author:</w:t>
      </w:r>
      <w:r>
        <w:t xml:space="preserve"> </w:t>
      </w:r>
      <w:r>
        <w:t xml:space="preserve">A.C. Cebulski, alex.cebulski@usask.ca</w:t>
      </w:r>
    </w:p>
    <w:p>
      <w:pPr>
        <w:pStyle w:val="BodyText"/>
      </w:pPr>
      <w:r>
        <w:rPr>
          <w:b/>
          <w:bCs/>
        </w:rPr>
        <w:t xml:space="preserve">Abstract:</w:t>
      </w:r>
      <w:r>
        <w:t xml:space="preserve"> </w:t>
      </w:r>
      <w:r>
        <w:t xml:space="preserve">Snow accumulation models differ in how snow interception and ablation processes are represented and thus their application to diverse climates and forest types is uncertain. Existing parameterizations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parameterizations of initial snow interception using high-temporal resolution and fine-scale measurements of throughfall for events with minimal snow ablation and redistribution in both the canopy and on the ground. The relationship between these throughfall measurements, event meteorology, and a novel lidar-based canopy density measurement are assessed in two subalpine forest plots in the Canadian Rockies. Contrary to existing theories, no association of canopy snow load or air temperature with interception efficiency was observed. Instead, canopy density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improved dramatically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parameterization that calculates throughfall, independent of processes that ablate snow from the canopy, as a function of snowfall, canopy cover, and wind speed. This new parameterization successfully estimated subcanopy snow accumulation for a snowfall event at two forest plots measured using lidar and snow surveys. By separating canopy snow ablation from snow interception processes, this new model offers potentially improved prediction of subcanopy snow accumulation when combined with canopy snow ablation parameterizations.</w:t>
      </w:r>
    </w:p>
    <w:p>
      <w:pPr>
        <w:pStyle w:val="BodyText"/>
      </w:pPr>
      <w:r>
        <w:rPr>
          <w:b/>
          <w:bCs/>
        </w:rPr>
        <w:t xml:space="preserve">Keywords:</w:t>
      </w:r>
      <w:r>
        <w:t xml:space="preserve"> </w:t>
      </w:r>
      <w:r>
        <w:t xml:space="preserve">snow interception, throughfall, ablation, forest, snowpack, lidar, process-based modelling</w:t>
      </w:r>
    </w:p>
    <w:bookmarkStart w:id="20" w:name="introduction"/>
    <w:p>
      <w:pPr>
        <w:pStyle w:val="Heading1"/>
      </w:pPr>
      <w:r>
        <w:t xml:space="preserve">1. Introduction</w:t>
      </w:r>
    </w:p>
    <w:p>
      <w:pPr>
        <w:pStyle w:val="FirstParagraph"/>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(Katsushima et al., 2023; Lundberg &amp; Hallidin, 1994; Pomeroy et al., 1998)</w:t>
      </w:r>
      <w:r>
        <w:t xml:space="preserve">, reducing the amount of snow available for runoff. Canopy density is one of the primary factors controlling the partitioning of snowfall into throughfall and interception</w:t>
      </w:r>
      <w:r>
        <w:t xml:space="preserve"> </w:t>
      </w:r>
      <w:r>
        <w:t xml:space="preserve">(Hedstrom &amp; Pomeroy, 1998; Storck et al., 2002)</w:t>
      </w:r>
      <w:r>
        <w:t xml:space="preserve">, and thus governs the quantity of snow subject to sublimation from the canopy. However,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Given the significant impact of forest cover on snowpacks, along with the limited or absent monitoring networks for subcanopy snow accumulation</w:t>
      </w:r>
      <w:r>
        <w:t xml:space="preserve"> </w:t>
      </w:r>
      <w:r>
        <w:t xml:space="preserve">(Rittger et al., 2020; Vionnet et al., 2021)</w:t>
      </w:r>
      <w:r>
        <w:t xml:space="preserve">, land management, ecological conservation, and water resource decisions depend on reliable models of snow redistribution.</w:t>
      </w:r>
    </w:p>
    <w:p>
      <w:pPr>
        <w:pStyle w:val="BodyText"/>
      </w:pPr>
      <w:r>
        <w:t xml:space="preserve">Hedstrom &amp; Pomeroy (1998)</w:t>
      </w:r>
      <w:r>
        <w:t xml:space="preserve">, working in the cold continental boreal forest, proposed that initial snow interception efficiency was controlled by the maximum canopy load which itself was a function of leaf area index and new snow density. Unloading was found to be an exponential function of time that was observed only days or weeks after the interception event.</w:t>
      </w:r>
      <w:r>
        <w:t xml:space="preserve"> </w:t>
      </w:r>
      <w:r>
        <w:t xml:space="preserve">Storck et al. (2002)</w:t>
      </w:r>
      <w:r>
        <w:t xml:space="preserve">, working in temperate coastal forests, emphasized the role of leaf area index and air temperature in controlling the maximum canopy snow load.</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air temperature. A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existing snow interception models</w:t>
      </w:r>
      <w:r>
        <w:t xml:space="preserve"> </w:t>
      </w:r>
      <w:r>
        <w:t xml:space="preserve">(Hedstrom &amp; Pomeroy, 1998; Storck et al., 2002)</w:t>
      </w:r>
      <w:r>
        <w:t xml:space="preserve"> </w:t>
      </w:r>
      <w:r>
        <w:t xml:space="preserve">may contribute to overestimates of throughfall, canopy snow unloading, and canopy snow melt when combined with other canopy snow ablation parameterizations</w:t>
      </w:r>
      <w:r>
        <w:t xml:space="preserve"> </w:t>
      </w:r>
      <w:r>
        <w:t xml:space="preserve">(Cebulski &amp; Pomeroy, 2025)</w:t>
      </w:r>
      <w:r>
        <w:t xml:space="preserve">. Additional observations of snow interception that exclude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 Hedstrom &amp; Pomeroy’s (1998) theory also suggests that moderate wind speeds, which can result in more horizontal hydrometeor trajectories, increasing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However, the relationship proposed by</w:t>
      </w:r>
      <w:r>
        <w:t xml:space="preserve"> </w:t>
      </w:r>
      <w:r>
        <w:t xml:space="preserve">Hedstrom &amp; Pomeroy (1998)</w:t>
      </w:r>
      <w:r>
        <w:t xml:space="preserve">, is typically not included in snow accumulation models as empirical testing of this relationship is lacking.</w:t>
      </w:r>
    </w:p>
    <w:p>
      <w:pPr>
        <w:pStyle w:val="BodyText"/>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canopy density and initial snow interception supported by in-situ observations collected in the Canadian Rockies?</w:t>
      </w:r>
    </w:p>
    <w:p>
      <w:pPr>
        <w:numPr>
          <w:ilvl w:val="0"/>
          <w:numId w:val="1001"/>
        </w:numPr>
      </w:pPr>
      <w:r>
        <w:t xml:space="preserve">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9" w:name="theory"/>
    <w:p>
      <w:pPr>
        <w:pStyle w:val="Heading1"/>
      </w:pPr>
      <w:r>
        <w:t xml:space="preserve">2. Theory</w:t>
      </w:r>
    </w:p>
    <w:bookmarkStart w:id="24" w:name="canopy-snow-mass-balance"/>
    <w:p>
      <w:pPr>
        <w:pStyle w:val="Heading2"/>
      </w:pPr>
      <w:r>
        <w:t xml:space="preserve">2.1 Canopy snow mass balance</w:t>
      </w:r>
    </w:p>
    <w:p>
      <w:pPr>
        <w:pStyle w:val="FirstParagraph"/>
      </w:pPr>
      <w:r>
        <w:t xml:space="preserve">The change in canopy snow load over time,</w:t>
      </w:r>
      <w:r>
        <w:t xml:space="preserve"> </w:t>
      </w:r>
      <m:oMath>
        <m:f>
          <m:fPr>
            <m:type m:val="bar"/>
          </m:fPr>
          <m:num>
            <m:r>
              <m:t>d</m:t>
            </m:r>
            <m:r>
              <m:t>L</m:t>
            </m:r>
          </m:num>
          <m:den>
            <m:r>
              <m:t>d</m:t>
            </m:r>
            <m:r>
              <m:t>t</m:t>
            </m:r>
          </m:den>
        </m:f>
      </m:oMath>
      <w:r>
        <w:t xml:space="preserve"> </w:t>
      </w:r>
      <w:r>
        <w:t xml:space="preserve">(mm s</w:t>
      </w:r>
      <w:r>
        <w:rPr>
          <w:vertAlign w:val="superscript"/>
        </w:rPr>
        <w:t xml:space="preserve">-1</w:t>
      </w:r>
      <w:r>
        <w:t xml:space="preserve">), can be estimated from the mass balance:</w:t>
      </w:r>
    </w:p>
    <w:p>
      <w:pPr>
        <w:pStyle w:val="BodyText"/>
      </w:pPr>
      <w:bookmarkStart w:id="21" w:name="eq-canopy-mass-bal"/>
      <m:oMathPara>
        <m:oMathParaPr>
          <m:jc m:val="center"/>
        </m:oMathParaPr>
        <m:oMath>
          <m:f>
            <m:fPr>
              <m:type m:val="bar"/>
            </m:fPr>
            <m:num>
              <m:r>
                <m:t>d</m:t>
              </m:r>
              <m:r>
                <m:t>L</m:t>
              </m:r>
            </m:num>
            <m:den>
              <m:r>
                <m:t>d</m:t>
              </m:r>
              <m:r>
                <m:t>t</m:t>
              </m:r>
            </m:den>
          </m:f>
          <m:r>
            <m:rPr>
              <m:sty m:val="p"/>
            </m:rPr>
            <m:t>=</m:t>
          </m:r>
          <m:d>
            <m:dPr>
              <m:begChr m:val="["/>
              <m:endChr m:val="]"/>
              <m:sepChr m:val=""/>
              <m:grow/>
            </m:dPr>
            <m:e>
              <m:sSub>
                <m:e>
                  <m:r>
                    <m:t>q</m:t>
                  </m:r>
                </m:e>
                <m:sub>
                  <m:r>
                    <m:t>s</m:t>
                  </m:r>
                  <m:r>
                    <m:t>f</m:t>
                  </m:r>
                </m:sub>
              </m:sSub>
              <m:r>
                <m:rPr>
                  <m:sty m:val="p"/>
                </m:rPr>
                <m:t>−</m:t>
              </m:r>
              <m:sSub>
                <m:e>
                  <m:r>
                    <m:t>q</m:t>
                  </m:r>
                </m:e>
                <m:sub>
                  <m:r>
                    <m:t>t</m:t>
                  </m:r>
                  <m:r>
                    <m:t>f</m:t>
                  </m:r>
                </m:sub>
              </m:sSub>
              <m:r>
                <m:rPr>
                  <m:sty m:val="p"/>
                </m:rPr>
                <m:t>+</m:t>
              </m:r>
              <m:sSub>
                <m:e>
                  <m:r>
                    <m:t>q</m:t>
                  </m:r>
                </m:e>
                <m:sub>
                  <m:r>
                    <m:t>r</m:t>
                  </m:r>
                  <m:r>
                    <m:t>o</m:t>
                  </m:r>
                  <m:r>
                    <m:t>s</m:t>
                  </m:r>
                </m:sub>
              </m:sSub>
            </m:e>
          </m:d>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endChr m:val=")"/>
              <m:sepChr m:val=""/>
              <m:grow/>
            </m:dPr>
            <m:e>
              <m:r>
                <m:t>1</m:t>
              </m:r>
            </m:e>
          </m:d>
        </m:oMath>
      </m:oMathPara>
      <w:bookmarkEnd w:id="21"/>
    </w:p>
    <w:p>
      <w:pPr>
        <w:pStyle w:val="FirstParagraph"/>
      </w:pPr>
      <w:r>
        <w:t xml:space="preserve">where</w:t>
      </w:r>
      <w:r>
        <w:t xml:space="preserve"> </w:t>
      </w:r>
      <m:oMath>
        <m:sSub>
          <m:e>
            <m:r>
              <m:t>q</m:t>
            </m:r>
          </m:e>
          <m:sub>
            <m:r>
              <m:t>s</m:t>
            </m:r>
            <m:r>
              <m:t>f</m:t>
            </m:r>
          </m:sub>
        </m:sSub>
      </m:oMath>
      <w:r>
        <w:t xml:space="preserve"> </w:t>
      </w:r>
      <w:r>
        <w:t xml:space="preserve">is the snowfall rate (mm s</w:t>
      </w:r>
      <w:r>
        <w:rPr>
          <w:vertAlign w:val="superscript"/>
        </w:rPr>
        <w:t xml:space="preserve">-1</w:t>
      </w:r>
      <w:r>
        <w:t xml:space="preserve">),</w:t>
      </w:r>
      <w:r>
        <w:t xml:space="preserve"> </w:t>
      </w:r>
      <m:oMath>
        <m:sSub>
          <m:e>
            <m:r>
              <m:t>q</m:t>
            </m:r>
          </m:e>
          <m:sub>
            <m:r>
              <m:t>r</m:t>
            </m:r>
            <m:r>
              <m:t>o</m:t>
            </m:r>
            <m:r>
              <m:t>s</m:t>
            </m:r>
          </m:sub>
        </m:sSub>
      </m:oMath>
      <w:r>
        <w:t xml:space="preserve"> </w:t>
      </w:r>
      <w:r>
        <w:t xml:space="preserve">(mm s</w:t>
      </w:r>
      <w:r>
        <w:rPr>
          <w:vertAlign w:val="superscript"/>
        </w:rPr>
        <w:t xml:space="preserve">-1</w:t>
      </w:r>
      <w:r>
        <w:t xml:space="preserve">) is the rate of rainfall falling on snow intercepted in the canopy,</w:t>
      </w:r>
      <w:r>
        <w:t xml:space="preserve"> </w:t>
      </w:r>
      <m:oMath>
        <m:sSub>
          <m:e>
            <m:r>
              <m:t>q</m:t>
            </m:r>
          </m:e>
          <m:sub>
            <m:r>
              <m:t>t</m:t>
            </m:r>
            <m:r>
              <m:t>f</m:t>
            </m:r>
          </m:sub>
        </m:sSub>
      </m:oMath>
      <w:r>
        <w:t xml:space="preserve"> </w:t>
      </w:r>
      <w:r>
        <w:t xml:space="preserve">(mm s</w:t>
      </w:r>
      <w:r>
        <w:rPr>
          <w:vertAlign w:val="superscript"/>
        </w:rPr>
        <w:t xml:space="preserve">-1</w:t>
      </w:r>
      <w:r>
        <w:t xml:space="preserve">) is the throughfall rate (mm s</w:t>
      </w:r>
      <w:r>
        <w:rPr>
          <w:vertAlign w:val="superscript"/>
        </w:rPr>
        <w:t xml:space="preserve">-1</w:t>
      </w:r>
      <w:r>
        <w:t xml:space="preserve">),</w:t>
      </w:r>
      <w:r>
        <w:t xml:space="preserve"> </w:t>
      </w:r>
      <m:oMath>
        <m:sSub>
          <m:e>
            <m:r>
              <m:t>q</m:t>
            </m:r>
          </m:e>
          <m:sub>
            <m:r>
              <m:t>u</m:t>
            </m:r>
            <m:r>
              <m:t>n</m:t>
            </m:r>
            <m:r>
              <m:t>l</m:t>
            </m:r>
            <m:r>
              <m:t>d</m:t>
            </m:r>
          </m:sub>
        </m:sSub>
      </m:oMath>
      <w:r>
        <w:t xml:space="preserve"> </w:t>
      </w:r>
      <w:r>
        <w:t xml:space="preserve">is the canopy snow unloading rate (mm 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(mm 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(mm 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(mm s</w:t>
      </w:r>
      <w:r>
        <w:rPr>
          <w:vertAlign w:val="superscript"/>
        </w:rPr>
        <w:t xml:space="preserve">-1</w:t>
      </w:r>
      <w:r>
        <w:t xml:space="preserve">). Figure 1 in</w:t>
      </w:r>
      <w:r>
        <w:t xml:space="preserve"> </w:t>
      </w:r>
      <w:r>
        <w:t xml:space="preserve">Cebulski &amp; Pomeroy (2025)</w:t>
      </w:r>
      <w:r>
        <w:t xml:space="preserve"> </w:t>
      </w:r>
      <w:r>
        <w:t xml:space="preserve">presents a visual representation of this mass balance.</w:t>
      </w:r>
    </w:p>
    <w:p>
      <w:pPr>
        <w:pStyle w:val="BodyText"/>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be calculated as:</w:t>
      </w:r>
    </w:p>
    <w:p>
      <w:pPr>
        <w:pStyle w:val="BodyText"/>
      </w:pPr>
      <w:bookmarkStart w:id="22"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2</m:t>
              </m:r>
            </m:e>
          </m:d>
        </m:oMath>
      </m:oMathPara>
      <w:bookmarkEnd w:id="22"/>
    </w:p>
    <w:p>
      <w:pPr>
        <w:pStyle w:val="FirstParagraph"/>
      </w:pPr>
      <w:r>
        <w:t xml:space="preserve">During periods with low air temperatures and low wind speeds,</w:t>
      </w:r>
      <w:r>
        <w:t xml:space="preserve"> </w:t>
      </w:r>
      <m:oMath>
        <m:sSub>
          <m:e>
            <m:r>
              <m:t>q</m:t>
            </m:r>
          </m:e>
          <m:sub>
            <m:r>
              <m:t>r</m:t>
            </m:r>
            <m:r>
              <m:t>o</m:t>
            </m:r>
            <m:r>
              <m:t>s</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and thus the right side of</w:t>
      </w:r>
      <w:r>
        <w:t xml:space="preserve"> </w:t>
      </w:r>
      <w:hyperlink w:anchor="eq-canopy-mass-bal">
        <w:r>
          <w:rPr>
            <w:rStyle w:val="Hyperlink"/>
          </w:rPr>
          <w:t xml:space="preserve">Equation 1</w:t>
        </w:r>
      </w:hyperlink>
      <w:r>
        <w:t xml:space="preserve"> </w:t>
      </w:r>
      <w:r>
        <w:t xml:space="preserve">can be simplified and used as an approximation of</w:t>
      </w:r>
      <w:r>
        <w:t xml:space="preserve"> </w:t>
      </w:r>
      <m:oMath>
        <m:r>
          <m:t>Δ</m:t>
        </m:r>
        <m:r>
          <m:t>L</m:t>
        </m:r>
      </m:oMath>
      <w:r>
        <w:t xml:space="preserve"> </w:t>
      </w:r>
      <w:r>
        <w:t xml:space="preserve">to calculate</w:t>
      </w:r>
      <w:r>
        <w:t xml:space="preserve"> </w:t>
      </w:r>
      <m:oMath>
        <m:f>
          <m:fPr>
            <m:type m:val="bar"/>
          </m:fPr>
          <m:num>
            <m:r>
              <m:t>I</m:t>
            </m:r>
          </m:num>
          <m:den>
            <m:r>
              <m:t>P</m:t>
            </m:r>
          </m:den>
        </m:f>
      </m:oMath>
      <w:r>
        <w:t xml:space="preserve"> </w:t>
      </w:r>
      <w:r>
        <w:t xml:space="preserve">as:</w:t>
      </w:r>
    </w:p>
    <w:p>
      <w:pPr>
        <w:pStyle w:val="BodyText"/>
      </w:pPr>
      <w:bookmarkStart w:id="23" w:name="eq-ip2"/>
      <m:oMathPara>
        <m:oMathParaPr>
          <m:jc m:val="center"/>
        </m:oMathParaPr>
        <m:oMath>
          <m:f>
            <m:fPr>
              <m:type m:val="bar"/>
            </m:fPr>
            <m:num>
              <m:r>
                <m:t>I</m:t>
              </m:r>
            </m:num>
            <m:den>
              <m:r>
                <m:t>P</m:t>
              </m:r>
            </m:den>
          </m:f>
          <m:r>
            <m:rPr>
              <m:sty m:val="p"/>
            </m:rPr>
            <m:t>=</m:t>
          </m:r>
          <m:f>
            <m:fPr>
              <m:type m:val="bar"/>
            </m:fPr>
            <m:num>
              <m:d>
                <m:dPr>
                  <m:begChr m:val="("/>
                  <m:endChr m:val=")"/>
                  <m:sepChr m:val=""/>
                  <m:grow/>
                </m:dPr>
                <m:e>
                  <m:sSub>
                    <m:e>
                      <m:r>
                        <m:t>q</m:t>
                      </m:r>
                    </m:e>
                    <m:sub>
                      <m:r>
                        <m:t>s</m:t>
                      </m:r>
                      <m:r>
                        <m:t>f</m:t>
                      </m:r>
                    </m:sub>
                  </m:sSub>
                  <m:r>
                    <m:rPr>
                      <m:sty m:val="p"/>
                    </m:rPr>
                    <m:t>−</m:t>
                  </m:r>
                  <m:sSub>
                    <m:e>
                      <m:r>
                        <m:t>q</m:t>
                      </m:r>
                    </m:e>
                    <m:sub>
                      <m:r>
                        <m:t>t</m:t>
                      </m:r>
                      <m:r>
                        <m:t>f</m:t>
                      </m:r>
                    </m:sub>
                  </m:sSub>
                </m:e>
              </m:d>
              <m:r>
                <m:t>Δ</m:t>
              </m:r>
              <m:r>
                <m:t>t</m:t>
              </m:r>
            </m:num>
            <m:den>
              <m:sSub>
                <m:e>
                  <m:r>
                    <m:t>q</m:t>
                  </m:r>
                </m:e>
                <m:sub>
                  <m:r>
                    <m:t>s</m:t>
                  </m:r>
                  <m:r>
                    <m:t>f</m:t>
                  </m:r>
                </m:sub>
              </m:sSub>
              <m:r>
                <m:t>Δ</m:t>
              </m:r>
              <m:r>
                <m:t>t</m:t>
              </m:r>
            </m:den>
          </m:f>
          <m:r>
            <m:t>  </m:t>
          </m:r>
          <m:d>
            <m:dPr>
              <m:begChr m:val="("/>
              <m:endChr m:val=")"/>
              <m:sepChr m:val=""/>
              <m:grow/>
            </m:dPr>
            <m:e>
              <m:r>
                <m:t>3</m:t>
              </m:r>
            </m:e>
          </m:d>
        </m:oMath>
      </m:oMathPara>
      <w:bookmarkEnd w:id="23"/>
    </w:p>
    <w:bookmarkEnd w:id="24"/>
    <w:bookmarkStart w:id="26" w:name="hydrometeor-trajectory-angle"/>
    <w:p>
      <w:pPr>
        <w:pStyle w:val="Heading2"/>
      </w:pPr>
      <w:r>
        <w:t xml:space="preserve">2.2 Hydrometeor trajectory angle</w:t>
      </w:r>
    </w:p>
    <w:p>
      <w:pPr>
        <w:pStyle w:val="FirstParagraph"/>
      </w:pPr>
      <w:r>
        <w:t xml:space="preserve">Herwitz &amp; Slye (1995)</w:t>
      </w:r>
      <w:r>
        <w:t xml:space="preserve"> </w:t>
      </w:r>
      <w:r>
        <w:t xml:space="preserve">calculate the trajectory angle of a hydrometeor,</w:t>
      </w:r>
      <w:r>
        <w:t xml:space="preserve"> </w:t>
      </w:r>
      <m:oMath>
        <m:sSub>
          <m:e>
            <m:r>
              <m:t>θ</m:t>
            </m:r>
          </m:e>
          <m:sub>
            <m:r>
              <m:t>h</m:t>
            </m:r>
          </m:sub>
        </m:sSub>
      </m:oMath>
      <w:r>
        <w:t xml:space="preserve">, as the departure in degrees (°) from a vertical plane as:</w:t>
      </w:r>
    </w:p>
    <w:p>
      <w:pPr>
        <w:pStyle w:val="BodyText"/>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FirstParagraph"/>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In the absence of hydrometeor velocity observations,</w:t>
      </w:r>
      <w:r>
        <w:t xml:space="preserve"> </w:t>
      </w:r>
      <m:oMath>
        <m:sSub>
          <m:e>
            <m:r>
              <m:t>v</m:t>
            </m:r>
          </m:e>
          <m:sub>
            <m:r>
              <m:t>h</m:t>
            </m:r>
          </m:sub>
        </m:sSub>
        <m:d>
          <m:dPr>
            <m:begChr m:val="("/>
            <m:endChr m:val=")"/>
            <m:sepChr m:val=""/>
            <m:grow/>
          </m:dPr>
          <m:e>
            <m:sSub>
              <m:e>
                <m:r>
                  <m:t>D</m:t>
                </m:r>
              </m:e>
              <m:sub>
                <m:r>
                  <m:t>h</m:t>
                </m:r>
              </m:sub>
            </m:sSub>
          </m:e>
        </m:d>
      </m:oMath>
      <w:r>
        <w:t xml:space="preserve"> </w:t>
      </w:r>
      <w:r>
        <w:t xml:space="preserve">may be approximated from values in the literature (e.g., 0.8 m s</w:t>
      </w:r>
      <w:r>
        <w:rPr>
          <w:vertAlign w:val="superscript"/>
        </w:rPr>
        <w:t xml:space="preserve">-1</w:t>
      </w:r>
      <w:r>
        <w:t xml:space="preserve"> </w:t>
      </w:r>
      <w:r>
        <w:t xml:space="preserve">in</w:t>
      </w:r>
      <w:r>
        <w:t xml:space="preserve"> </w:t>
      </w:r>
      <w:r>
        <w:t xml:space="preserve">Isyumov (1971)</w:t>
      </w:r>
      <w:r>
        <w:t xml:space="preserve">) and</w:t>
      </w:r>
      <w:r>
        <w:t xml:space="preserve"> </w:t>
      </w:r>
      <m:oMath>
        <m:sSub>
          <m:e>
            <m:r>
              <m:t>x</m:t>
            </m:r>
          </m:e>
          <m:sub>
            <m:r>
              <m:t>h</m:t>
            </m:r>
          </m:sub>
        </m:sSub>
        <m:d>
          <m:dPr>
            <m:begChr m:val="("/>
            <m:endChr m:val=")"/>
            <m:sepChr m:val=""/>
            <m:grow/>
          </m:dPr>
          <m:e>
            <m:sSub>
              <m:e>
                <m:r>
                  <m:t>u</m:t>
                </m:r>
              </m:e>
              <m:sub>
                <m:r>
                  <m:t>z</m:t>
                </m:r>
              </m:sub>
            </m:sSub>
          </m:e>
        </m:d>
      </m:oMath>
      <w:r>
        <w:t xml:space="preserve"> </w:t>
      </w:r>
      <w:r>
        <w:t xml:space="preserve">can be approximated by the horizontal wind speed. This assumes the hydrometeors are following fluid points in the atmosphere.</w:t>
      </w:r>
    </w:p>
    <w:bookmarkEnd w:id="26"/>
    <w:bookmarkStart w:id="28" w:name="within-canopy-wind-flow"/>
    <w:p>
      <w:pPr>
        <w:pStyle w:val="Heading2"/>
      </w:pPr>
      <w:r>
        <w:t xml:space="preserve">2.3 Within-canopy wind flow</w:t>
      </w:r>
    </w:p>
    <w:p>
      <w:pPr>
        <w:pStyle w:val="FirstParagraph"/>
      </w:pPr>
      <w:r>
        <w:t xml:space="preserve">Cionco (1965)</w:t>
      </w:r>
      <w:r>
        <w:t xml:space="preserve"> </w:t>
      </w:r>
      <w:r>
        <w:t xml:space="preserve">show that,</w:t>
      </w:r>
      <w:r>
        <w:t xml:space="preserve"> </w:t>
      </w:r>
      <m:oMath>
        <m:sSub>
          <m:e>
            <m:r>
              <m:t>u</m:t>
            </m:r>
          </m:e>
          <m:sub>
            <m:r>
              <m:t>z</m:t>
            </m:r>
          </m:sub>
        </m:sSub>
      </m:oMath>
      <w:r>
        <w:t xml:space="preserve"> </w:t>
      </w:r>
      <w:r>
        <w:t xml:space="preserve">may be approximated using the exponential formula:</w:t>
      </w:r>
    </w:p>
    <w:p>
      <w:pPr>
        <w:pStyle w:val="BodyText"/>
      </w:pPr>
      <w:bookmarkStart w:id="27" w:name="eq-cionco"/>
      <m:oMathPara>
        <m:oMathParaPr>
          <m:jc m:val="center"/>
        </m:oMathParaPr>
        <m:oMath>
          <m:sSub>
            <m:e>
              <m:r>
                <m:t>u</m:t>
              </m:r>
            </m:e>
            <m:sub>
              <m:r>
                <m:t>z</m:t>
              </m:r>
            </m:sub>
          </m:sSub>
          <m:r>
            <m:rPr>
              <m:sty m:val="p"/>
            </m:rPr>
            <m:t>=</m:t>
          </m:r>
          <m:r>
            <m:t>u</m:t>
          </m:r>
          <m:r>
            <m:rPr>
              <m:sty m:val="p"/>
            </m:rPr>
            <m:t>⋅</m:t>
          </m:r>
          <m:r>
            <m:t>e</m:t>
          </m:r>
          <m:r>
            <m:t>x</m:t>
          </m:r>
          <m:r>
            <m:t>p</m:t>
          </m:r>
          <m:d>
            <m:dPr>
              <m:begChr m:val="["/>
              <m:endChr m:val="]"/>
              <m:sepChr m:val=""/>
              <m:grow/>
            </m:dPr>
            <m:e>
              <m:r>
                <m:t>a</m:t>
              </m:r>
              <m:r>
                <m:rPr>
                  <m:sty m:val="p"/>
                </m:rPr>
                <m:t>⋅</m:t>
              </m:r>
              <m:d>
                <m:dPr>
                  <m:begChr m:val="("/>
                  <m:endChr m:val=")"/>
                  <m:sepChr m:val=""/>
                  <m:grow/>
                </m:dPr>
                <m:e>
                  <m:f>
                    <m:fPr>
                      <m:type m:val="bar"/>
                    </m:fPr>
                    <m:num>
                      <m:r>
                        <m:t>z</m:t>
                      </m:r>
                    </m:num>
                    <m:den>
                      <m:sSub>
                        <m:e>
                          <m:r>
                            <m:t>h</m:t>
                          </m:r>
                        </m:e>
                        <m:sub>
                          <m:r>
                            <m:t>c</m:t>
                          </m:r>
                        </m:sub>
                      </m:sSub>
                    </m:den>
                  </m:f>
                  <m:r>
                    <m:rPr>
                      <m:sty m:val="p"/>
                    </m:rPr>
                    <m:t>−</m:t>
                  </m:r>
                  <m:r>
                    <m:t>1</m:t>
                  </m:r>
                </m:e>
              </m:d>
            </m:e>
          </m:d>
          <m:r>
            <m:t>  </m:t>
          </m:r>
          <m:d>
            <m:dPr>
              <m:begChr m:val="("/>
              <m:endChr m:val=")"/>
              <m:sepChr m:val=""/>
              <m:grow/>
            </m:dPr>
            <m:e>
              <m:r>
                <m:t>5</m:t>
              </m:r>
            </m:e>
          </m:d>
        </m:oMath>
      </m:oMathPara>
      <w:bookmarkEnd w:id="27"/>
    </w:p>
    <w:p>
      <w:pPr>
        <w:pStyle w:val="FirstParagraph"/>
      </w:pPr>
      <w:r>
        <w:t xml:space="preserve">where</w:t>
      </w:r>
      <w:r>
        <w:t xml:space="preserve"> </w:t>
      </w:r>
      <m:oMath>
        <m:r>
          <m:t>u</m:t>
        </m:r>
      </m:oMath>
      <w:r>
        <w:t xml:space="preserve"> </w:t>
      </w:r>
      <w:r>
        <w:t xml:space="preserve">is the horizontal wind speed at the top of the canopy (m s</w:t>
      </w:r>
      <w:r>
        <w:rPr>
          <w:vertAlign w:val="superscript"/>
        </w:rPr>
        <w:t xml:space="preserve">-1</w:t>
      </w:r>
      <w:r>
        <w:t xml:space="preserve">),</w:t>
      </w:r>
      <w:r>
        <w:t xml:space="preserve"> </w:t>
      </w:r>
      <m:oMath>
        <m:r>
          <m:t>a</m:t>
        </m:r>
      </m:oMath>
      <w:r>
        <w:t xml:space="preserve"> </w:t>
      </w:r>
      <w:r>
        <w:t xml:space="preserve">is an attenuation coefficient,</w:t>
      </w:r>
      <w:r>
        <w:t xml:space="preserve"> </w:t>
      </w:r>
      <m:oMath>
        <m:r>
          <m:t>z</m:t>
        </m:r>
      </m:oMath>
      <w:r>
        <w:t xml:space="preserve"> </w:t>
      </w:r>
      <w:r>
        <w:t xml:space="preserve">is the height above ground (m), and</w:t>
      </w:r>
      <w:r>
        <w:t xml:space="preserve"> </w:t>
      </w:r>
      <m:oMath>
        <m:sSub>
          <m:e>
            <m:r>
              <m:t>h</m:t>
            </m:r>
          </m:e>
          <m:sub>
            <m:r>
              <m:t>c</m:t>
            </m:r>
          </m:sub>
        </m:sSub>
      </m:oMath>
      <w:r>
        <w:t xml:space="preserve"> </w:t>
      </w:r>
      <w:r>
        <w:t xml:space="preserve">is the average height of the canopy elements.</w:t>
      </w:r>
      <w:r>
        <w:t xml:space="preserve"> </w:t>
      </w:r>
      <w:r>
        <w:t xml:space="preserve">Parviainen &amp; Pomeroy (2000)</w:t>
      </w:r>
      <w:r>
        <w:t xml:space="preserve"> </w:t>
      </w:r>
      <w:r>
        <w:t xml:space="preserve">provided a method to calculate</w:t>
      </w:r>
      <w:r>
        <w:t xml:space="preserve"> </w:t>
      </w:r>
      <m:oMath>
        <m:r>
          <m:t>a</m:t>
        </m:r>
      </m:oMath>
      <w:r>
        <w:t xml:space="preserve"> </w:t>
      </w:r>
      <w:r>
        <w:t xml:space="preserve">using observations from two jack pine stands, which was applied in this study.</w:t>
      </w:r>
    </w:p>
    <w:bookmarkEnd w:id="28"/>
    <w:bookmarkEnd w:id="29"/>
    <w:bookmarkStart w:id="51" w:name="data-and-methods"/>
    <w:p>
      <w:pPr>
        <w:pStyle w:val="Heading1"/>
      </w:pPr>
      <w:r>
        <w:t xml:space="preserve">3. Data and methods</w:t>
      </w:r>
    </w:p>
    <w:bookmarkStart w:id="34" w:name="study-site"/>
    <w:p>
      <w:pPr>
        <w:pStyle w:val="Heading2"/>
      </w:pPr>
      <w:r>
        <w:t xml:space="preserve">3.1 Study site</w:t>
      </w:r>
    </w:p>
    <w:p>
      <w:pPr>
        <w:pStyle w:val="FirstParagraph"/>
      </w:pPr>
      <w:r>
        <w:t xml:space="preserve">This study was conducted at Fortress Mountain Research Basin (FMRB), Alberta, Canada, -115° W, 51° N, a continental headwater basin in the Canadian Rockies (</w:t>
      </w:r>
      <w:hyperlink w:anchor="fig-site-map">
        <w:r>
          <w:rPr>
            <w:rStyle w:val="Hyperlink"/>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Hyperlink"/>
          </w:rPr>
          <w:t xml:space="preserve">Figure 1</w:t>
        </w:r>
      </w:hyperlink>
      <w:r>
        <w:t xml:space="preserve">. The average annual precipitation at PWL Station from 2013 to 2023 was 1045 mm, with the peak annual snow water equivalent (SWE) reaching 465 mm, typically occurring in late April. The PWL plot is adjacent to PWL station and the FT plot surrounds FT station and both include discontinuous stands of 70% subalpine fir (Abies lasiocarpa) and 30% Engelmann spruce (Picea engelmannii)</w:t>
      </w:r>
      <w:r>
        <w:t xml:space="preserve"> </w:t>
      </w:r>
      <w:r>
        <w:t xml:space="preserve">(Langs et al., 2020)</w:t>
      </w:r>
      <w:r>
        <w:t xml:space="preserve">. The canopy closure of the two forest plots are 0.51 and 0.29 and the winter leaf area indices are 2.07 and 1.66 for PWL and FT respectively. The average height of the canopy within the PWL plot is 10.5 m and within the FT plot is 7.1 m. In August of 1936, the majority of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road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3" w:name="fig-site-map"/>
          <w:p>
            <w:pPr>
              <w:pStyle w:val="Compact"/>
              <w:jc w:val="center"/>
            </w:pPr>
            <w:r>
              <w:drawing>
                <wp:inline>
                  <wp:extent cx="5943600" cy="5943600"/>
                  <wp:effectExtent b="0" l="0" r="0" t="0"/>
                  <wp:docPr descr="" title="" id="31" name="Picture"/>
                  <a:graphic>
                    <a:graphicData uri="http://schemas.openxmlformats.org/drawingml/2006/picture">
                      <pic:pic>
                        <pic:nvPicPr>
                          <pic:cNvPr descr="figs/maps/site_map_inset.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subcanopy lysimeter instruments (SCL), and survey transects. The inset map on the lower right shows the regional location of Fortress Mountain Research basin.</w:t>
            </w:r>
          </w:p>
          <w:bookmarkEnd w:id="33"/>
        </w:tc>
      </w:tr>
    </w:tbl>
    <w:bookmarkEnd w:id="34"/>
    <w:bookmarkStart w:id="35" w:name="meteorological-measurements"/>
    <w:p>
      <w:pPr>
        <w:pStyle w:val="Heading2"/>
      </w:pPr>
      <w:r>
        <w:t xml:space="preserve">3.2 Meteorological measurements</w:t>
      </w:r>
    </w:p>
    <w:p>
      <w:pPr>
        <w:pStyle w:val="FirstParagraph"/>
      </w:pPr>
      <w:r>
        <w:t xml:space="preserve">Measurements of air temperature and relative humidity (Vaisala model HMP155A), wind speed and direction (RM Young model 86000 2-D ultrasonic anemometer) were made 4.3 m above the ground at FT station (</w:t>
      </w:r>
      <w:hyperlink w:anchor="fig-site-map">
        <w:r>
          <w:rPr>
            <w:rStyle w:val="Hyperlink"/>
          </w:rPr>
          <w:t xml:space="preserve">Figure 1</w:t>
        </w:r>
      </w:hyperlink>
      <w:r>
        <w:t xml:space="preserve">). Wind speed measurements from a 3-cup anemometer (Met One model 014A), installed adjacent to the 2-D ultrasonic anemometer at 4.3 m, were used to fill data gaps in the 2-D ultrasonic anemometer records.</w:t>
      </w:r>
    </w:p>
    <w:p>
      <w:pPr>
        <w:pStyle w:val="BodyText"/>
      </w:pPr>
      <w:r>
        <w:t xml:space="preserve">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The instrument accuracy of the OTT Pluvio specified in the instrument manual is +/- 0.1 mm or 0.2% (whichever is larger).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5"/>
    <w:bookmarkStart w:id="41" w:name="lysimeter-measurements"/>
    <w:p>
      <w:pPr>
        <w:pStyle w:val="Heading2"/>
      </w:pPr>
      <w:r>
        <w:t xml:space="preserve">3.3 Lysimeter measurements</w:t>
      </w:r>
    </w:p>
    <w:p>
      <w:pPr>
        <w:pStyle w:val="FirstParagraph"/>
      </w:pPr>
      <w:r>
        <w:t xml:space="preserve">Three subcanopy lysimeters (SCLs) were installed surrounding the FT Station (</w:t>
      </w:r>
      <w:hyperlink w:anchor="fig-site-map">
        <w:r>
          <w:rPr>
            <w:rStyle w:val="Hyperlink"/>
          </w:rPr>
          <w:t xml:space="preserve">Figure 1</w:t>
        </w:r>
      </w:hyperlink>
      <w:r>
        <w:t xml:space="preserve">) to provide measurements of throughfall as in</w:t>
      </w:r>
      <w:r>
        <w:t xml:space="preserve"> </w:t>
      </w:r>
      <w:r>
        <w:t xml:space="preserve">MacDonald (2010)</w:t>
      </w:r>
      <w:r>
        <w:t xml:space="preserve">.</w:t>
      </w:r>
      <w:r>
        <w:t xml:space="preserve"> </w:t>
      </w:r>
      <w:hyperlink w:anchor="fig-scl-imgs">
        <w:r>
          <w:rPr>
            <w:rStyle w:val="Hyperlink"/>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snow captured in the SCLs was determined to be predominantly from throughfall. Timelapse imagery, mass change on a weighed tree lysimeter</w:t>
      </w:r>
      <w:r>
        <w:t xml:space="preserve"> </w:t>
      </w:r>
      <w:r>
        <w:t xml:space="preserve">“</w:t>
      </w:r>
      <w:r>
        <w:t xml:space="preserve">hanging tree</w:t>
      </w:r>
      <w:r>
        <w:t xml:space="preserve">”</w:t>
      </w:r>
      <w:r>
        <w:t xml:space="preserve"> </w:t>
      </w:r>
      <w:r>
        <w:t xml:space="preserve">(Pomeroy &amp; Schmidt, 1993)</w:t>
      </w:r>
      <w:r>
        <w:t xml:space="preserve">, and in-situ observations were used to ensure unloading, melt, and wind redistribution of canopy snow was minimal over each interval. Additionally, the throughfall measurements were filtered to include observations that coincided with a snowfall rate &gt; 0 mm hr</w:t>
      </w:r>
      <w:r>
        <w:rPr>
          <w:vertAlign w:val="superscript"/>
        </w:rPr>
        <w:t xml:space="preserve">-1</w:t>
      </w:r>
      <w:r>
        <w:t xml:space="preserve"> </w:t>
      </w:r>
      <w:r>
        <w:t xml:space="preserve">and a snowfall rate that exceeded the SCL measured throughfall rate. While these careful manual mitigation and automated filtering strategies substantially reduce the contribution of unloading in the SCL throughfall measurements, a small contribution is still possible.</w:t>
      </w:r>
    </w:p>
    <w:p>
      <w:pPr>
        <w:pStyle w:val="BodyText"/>
      </w:pPr>
      <w:r>
        <w:t xml:space="preserve">The SCL throughfall measurements were converted from weight, to weight per unit area by dividing the snow weight in the SCL by the cross-sectional area of the SCL opening. Canopy snow load was also estimated using</w:t>
      </w:r>
      <w:r>
        <w:t xml:space="preserve"> </w:t>
      </w:r>
      <w:hyperlink w:anchor="eq-canopy-mass-bal">
        <w:r>
          <w:rPr>
            <w:rStyle w:val="Hyperlink"/>
          </w:rPr>
          <w:t xml:space="preserve">Equation 1</w:t>
        </w:r>
      </w:hyperlink>
      <w:r>
        <w:t xml:space="preserve">, incorporating throughfall measurements from the SCLs and snowfall measurements from the PWL gauge. The small amount of snow captured in the SCLs and Pluvio instruments over the 15-minute intervals led to very high relative instrument errors. To reduce this relative error, throughfall and snowfall measurements were accumulated at both hourly intervals and within bins of air temperature, wind speed, and initial canopy snow load measured from the weighed tree. Interception efficiency was subsequently calculated using</w:t>
      </w:r>
      <w:r>
        <w:t xml:space="preserve"> </w:t>
      </w:r>
      <w:hyperlink w:anchor="eq-ip2">
        <w:r>
          <w:rPr>
            <w:rStyle w:val="Hyperlink"/>
          </w:rPr>
          <w:t xml:space="preserve">Equation 3</w:t>
        </w:r>
      </w:hyperlink>
      <w:r>
        <w:t xml:space="preserve"> </w:t>
      </w:r>
      <w:r>
        <w:t xml:space="preserve">and the accumulated measurements of snowfall and throughfall.</w:t>
      </w:r>
    </w:p>
    <w:p>
      <w:pPr>
        <w:pStyle w:val="BodyText"/>
      </w:pPr>
      <w:r>
        <w:t xml:space="preserve">The SCLs were installed in locations selected to limit preferential throughfall and unloading by choosing locations with relatively uniform distribution of canopy elements and away from large branches which could preferentially unload snow. The canopy surrounding the SCLs led to reduced wind speeds and reduced the potential for gauge undercatch by the SCLs. The</w:t>
      </w:r>
      <w:r>
        <w:t xml:space="preserve"> </w:t>
      </w:r>
      <w:r>
        <w:t xml:space="preserve">“</w:t>
      </w:r>
      <w:r>
        <w:t xml:space="preserve">mixed</w:t>
      </w:r>
      <w:r>
        <w:t xml:space="preserve">”</w:t>
      </w:r>
      <w:r>
        <w:t xml:space="preserve"> </w:t>
      </w:r>
      <w:r>
        <w:t xml:space="preserve">canopy SCL had a slight canopy opening, shown in</w:t>
      </w:r>
      <w:r>
        <w:t xml:space="preserve"> </w:t>
      </w:r>
      <w:hyperlink w:anchor="fig-scl-imgs">
        <w:r>
          <w:rPr>
            <w:rStyle w:val="Hyperlink"/>
          </w:rPr>
          <w:t xml:space="preserve">Figure 2</w:t>
        </w:r>
      </w:hyperlink>
      <w:r>
        <w:t xml:space="preserve">, orientated towards the prevailing wind direction observed during the study period which allowed some preferential measurement of throughfall for snowfall trajectories aligned with this gap. Photographs of the three SCLs and surrounding canopy are shown in</w:t>
      </w:r>
      <w:r>
        <w:t xml:space="preserve"> </w:t>
      </w:r>
      <w:hyperlink w:anchor="fig-scl-imgs">
        <w:r>
          <w:rPr>
            <w:rStyle w:val="Hyperlink"/>
          </w:rPr>
          <w:t xml:space="preserve">Figure 2</w:t>
        </w:r>
      </w:hyperlink>
      <w:r>
        <w:t xml:space="preserve">. Measurements of canopy density including leaf area index and canopy closure were provided for each SCL and are presented in</w:t>
      </w:r>
      <w:r>
        <w:t xml:space="preserve"> </w:t>
      </w:r>
      <w:hyperlink w:anchor="tbl-scl-lai-cc">
        <w:r>
          <w:rPr>
            <w:rStyle w:val="Hyperlink"/>
          </w:rPr>
          <w:t xml:space="preserve">Table 1</w:t>
        </w:r>
      </w:hyperlink>
      <w:r>
        <w:t xml:space="preserve">. A viewing angle from zenith to 60° was selected to describe the SCLs, as a range in hydrometeor trajectory angles were expected to influence the measurements at these locations. The canopy density metrics were measured using hemispherical photography (Nikon Coolpix 4500 and EC-F8 hemispherical lens) for a snow free canopy and analyzed with the hemispheR R package</w:t>
      </w:r>
      <w:r>
        <w:t xml:space="preserve"> </w:t>
      </w:r>
      <w:r>
        <w:t xml:space="preserve">Chianucci &amp; Macek (2023)</w:t>
      </w:r>
      <w:r>
        <w:t xml:space="preserve">.</w:t>
      </w:r>
    </w:p>
    <w:p>
      <w:pPr>
        <w:pStyle w:val="BodyText"/>
      </w:pPr>
      <w:r>
        <w:t xml:space="preserve">The weighed tree lysimeter, a live subalpine fir (Abies lasiocarpa) tree suspended from a load cell (Artech S-Type 20210-100) measured the weight of canopy snow load (kg). This weight was scaled to an areal estimate of canopy snow load (</w:t>
      </w:r>
      <m:oMath>
        <m:r>
          <m:t>L</m:t>
        </m:r>
      </m:oMath>
      <w:r>
        <w:t xml:space="preserve">, mm) using measurements of areal throughfall (mm) from in-situ snow surveys and snowfall from the PWL Station snowfall gauge, following the method described in</w:t>
      </w:r>
      <w:r>
        <w:t xml:space="preserve"> </w:t>
      </w:r>
      <w:r>
        <w:t xml:space="preserve">Pomeroy &amp; Schmidt (1993)</w:t>
      </w:r>
      <w:r>
        <w:t xml:space="preserve">. Three sets of in-situ snow survey locations were selected for scaling, each with a mean canopy closure corresponding to one of the SCLs. This approach produced three distinct datasets of canopy snow load from the weighed tree, each representing the canopy density of a respective SCL. Although the weighed tree lysimeter provides a more direct measurement of canopy snow load, compared to the SCLs, it was not used in the interception efficiency calculation as variations in the trees mass may be attributed to canopy snow sublimation, unloading and melt. Since the subcanopy lysimeter estimates of canopy snow load are not influenced by sublimation, they provided a measurement of interception efficiency with less uncertainty.</w:t>
      </w:r>
    </w:p>
    <w:tbl>
      <w:tblPr>
        <w:tblStyle w:val="Table"/>
        <w:tblW w:type="pct" w:w="5000"/>
        <w:tblLayout w:type="fixed"/>
        <w:tblLook w:firstRow="0" w:lastRow="0" w:firstColumn="0" w:lastColumn="0" w:noHBand="0" w:noVBand="0" w:val="0000"/>
      </w:tblPr>
      <w:tblGrid>
        <w:gridCol w:w="7920"/>
      </w:tblGrid>
      <w:tr>
        <w:tc>
          <w:tcPr/>
          <w:bookmarkStart w:id="36" w:name="tbl-scl-lai-cc"/>
          <w:p>
            <w:pPr>
              <w:jc w:val="center"/>
            </w:pPr>
            <w:pPr>
              <w:jc w:val="start"/>
              <w:spacing w:before="200"/>
              <w:pStyle w:val="ImageCaption"/>
            </w:pPr>
            <w:r>
              <w:t xml:space="preserve">Table 1: Leaf area index (LAI) and canopy closure of the three subcanopy lysimeters (SCL) located proximal to the FT Station.</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Name</w:t>
                  </w:r>
                </w:p>
              </w:tc>
              <w:tc>
                <w:tcPr/>
                <w:p>
                  <w:pPr>
                    <w:pStyle w:val="Compact"/>
                    <w:jc w:val="right"/>
                    <w:jc w:val="center"/>
                  </w:pPr>
                  <w:r>
                    <w:t xml:space="preserve">Angle From Zenith (°)</w:t>
                  </w:r>
                </w:p>
              </w:tc>
              <w:tc>
                <w:tcPr/>
                <w:p>
                  <w:pPr>
                    <w:pStyle w:val="Compact"/>
                    <w:jc w:val="right"/>
                    <w:jc w:val="center"/>
                  </w:pPr>
                  <w:r>
                    <w:t xml:space="preserve">LAI (-)</w:t>
                  </w:r>
                </w:p>
              </w:tc>
              <w:tc>
                <w:tcPr/>
                <w:p>
                  <w:pPr>
                    <w:pStyle w:val="Compact"/>
                    <w:jc w:val="right"/>
                    <w:jc w:val="center"/>
                  </w:pPr>
                  <w:r>
                    <w:t xml:space="preserve">Canopy Closure (-)</w:t>
                  </w:r>
                </w:p>
              </w:tc>
            </w:tr>
            <w:tr>
              <w:tc>
                <w:tcPr/>
                <w:p>
                  <w:pPr>
                    <w:pStyle w:val="Compact"/>
                    <w:jc w:val="left"/>
                    <w:jc w:val="center"/>
                  </w:pPr>
                  <w:r>
                    <w:t xml:space="preserve">Sparse</w:t>
                  </w:r>
                </w:p>
              </w:tc>
              <w:tc>
                <w:tcPr/>
                <w:p>
                  <w:pPr>
                    <w:pStyle w:val="Compact"/>
                    <w:jc w:val="right"/>
                    <w:jc w:val="center"/>
                  </w:pPr>
                  <w:r>
                    <w:t xml:space="preserve">60</w:t>
                  </w:r>
                </w:p>
              </w:tc>
              <w:tc>
                <w:tcPr/>
                <w:p>
                  <w:pPr>
                    <w:pStyle w:val="Compact"/>
                    <w:jc w:val="right"/>
                    <w:jc w:val="center"/>
                  </w:pPr>
                  <w:r>
                    <w:t xml:space="preserve">1.56</w:t>
                  </w:r>
                </w:p>
              </w:tc>
              <w:tc>
                <w:tcPr/>
                <w:p>
                  <w:pPr>
                    <w:pStyle w:val="Compact"/>
                    <w:jc w:val="right"/>
                    <w:jc w:val="center"/>
                  </w:pPr>
                  <w:r>
                    <w:t xml:space="preserve">0.64</w:t>
                  </w:r>
                </w:p>
              </w:tc>
            </w:tr>
            <w:tr>
              <w:tc>
                <w:tcPr/>
                <w:p>
                  <w:pPr>
                    <w:pStyle w:val="Compact"/>
                    <w:jc w:val="left"/>
                    <w:jc w:val="center"/>
                  </w:pPr>
                  <w:r>
                    <w:t xml:space="preserve">Mixed</w:t>
                  </w:r>
                </w:p>
              </w:tc>
              <w:tc>
                <w:tcPr/>
                <w:p>
                  <w:pPr>
                    <w:pStyle w:val="Compact"/>
                    <w:jc w:val="right"/>
                    <w:jc w:val="center"/>
                  </w:pPr>
                  <w:r>
                    <w:t xml:space="preserve">60</w:t>
                  </w:r>
                </w:p>
              </w:tc>
              <w:tc>
                <w:tcPr/>
                <w:p>
                  <w:pPr>
                    <w:pStyle w:val="Compact"/>
                    <w:jc w:val="right"/>
                    <w:jc w:val="center"/>
                  </w:pPr>
                  <w:r>
                    <w:t xml:space="preserve">2.10</w:t>
                  </w:r>
                </w:p>
              </w:tc>
              <w:tc>
                <w:tcPr/>
                <w:p>
                  <w:pPr>
                    <w:pStyle w:val="Compact"/>
                    <w:jc w:val="right"/>
                    <w:jc w:val="center"/>
                  </w:pPr>
                  <w:r>
                    <w:t xml:space="preserve">0.75</w:t>
                  </w:r>
                </w:p>
              </w:tc>
            </w:tr>
            <w:tr>
              <w:tc>
                <w:tcPr/>
                <w:p>
                  <w:pPr>
                    <w:pStyle w:val="Compact"/>
                    <w:jc w:val="left"/>
                    <w:jc w:val="center"/>
                  </w:pPr>
                  <w:r>
                    <w:t xml:space="preserve">Closed</w:t>
                  </w:r>
                </w:p>
              </w:tc>
              <w:tc>
                <w:tcPr/>
                <w:p>
                  <w:pPr>
                    <w:pStyle w:val="Compact"/>
                    <w:jc w:val="right"/>
                    <w:jc w:val="center"/>
                  </w:pPr>
                  <w:r>
                    <w:t xml:space="preserve">60</w:t>
                  </w:r>
                </w:p>
              </w:tc>
              <w:tc>
                <w:tcPr/>
                <w:p>
                  <w:pPr>
                    <w:pStyle w:val="Compact"/>
                    <w:jc w:val="right"/>
                    <w:jc w:val="center"/>
                  </w:pPr>
                  <w:r>
                    <w:t xml:space="preserve">2.40</w:t>
                  </w:r>
                </w:p>
              </w:tc>
              <w:tc>
                <w:tcPr/>
                <w:p>
                  <w:pPr>
                    <w:pStyle w:val="Compact"/>
                    <w:jc w:val="right"/>
                    <w:jc w:val="center"/>
                  </w:pPr>
                  <w:r>
                    <w:t xml:space="preserve">0.79</w:t>
                  </w:r>
                </w:p>
              </w:tc>
            </w:tr>
          </w:tbl>
          <w:bookmarkEnd w:id="3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cl-imgs"/>
          <w:p>
            <w:pPr>
              <w:pStyle w:val="Compact"/>
              <w:jc w:val="center"/>
            </w:pPr>
            <w:r>
              <w:drawing>
                <wp:inline>
                  <wp:extent cx="5943600" cy="3720133"/>
                  <wp:effectExtent b="0" l="0" r="0" t="0"/>
                  <wp:docPr descr="" title="" id="38" name="Picture"/>
                  <a:graphic>
                    <a:graphicData uri="http://schemas.openxmlformats.org/drawingml/2006/picture">
                      <pic:pic>
                        <pic:nvPicPr>
                          <pic:cNvPr descr="figs/site-photos/scl_w_fisheye_textnew.png" id="39" name="Picture"/>
                          <pic:cNvPicPr>
                            <a:picLocks noChangeArrowheads="1" noChangeAspect="1"/>
                          </pic:cNvPicPr>
                        </pic:nvPicPr>
                        <pic:blipFill>
                          <a:blip r:embed="rId37"/>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These hemispherical images are oriented with north at the top and have been mirrored to provide a view from above (e.g., east is on the right side of each image). See</w:t>
            </w:r>
            <w:r>
              <w:t xml:space="preserve"> </w:t>
            </w:r>
            <w:hyperlink w:anchor="tbl-scl-lai-cc">
              <w:r>
                <w:rPr>
                  <w:rStyle w:val="Hyperlink"/>
                </w:rPr>
                <w:t xml:space="preserve">Table 1</w:t>
              </w:r>
            </w:hyperlink>
            <w:r>
              <w:t xml:space="preserve"> </w:t>
            </w:r>
            <w:r>
              <w:t xml:space="preserve">for the canopy density measurements above each SCL.</w:t>
            </w:r>
          </w:p>
          <w:bookmarkEnd w:id="40"/>
        </w:tc>
      </w:tr>
    </w:tbl>
    <w:bookmarkEnd w:id="41"/>
    <w:bookmarkStart w:id="42" w:name="uav-lidar-data-collection-and-processing"/>
    <w:p>
      <w:pPr>
        <w:pStyle w:val="Heading2"/>
      </w:pPr>
      <w:r>
        <w:t xml:space="preserve">3.4 UAV-Lidar data collection and processing</w:t>
      </w:r>
    </w:p>
    <w:p>
      <w:pPr>
        <w:pStyle w:val="FirstParagraph"/>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Hyperlink"/>
          </w:rPr>
          <w:t xml:space="preserve">Figure 1</w:t>
        </w:r>
      </w:hyperlink>
      <w:r>
        <w:t xml:space="preserve">.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systematic vertical bias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After strip alignment, the mean elevation bias in the point clouds compared to the GNSS data was 0.000 m and the RMS error declined from 0.055 m to 0.038 m on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Quality control, ground classification, calculation of surface elevation change was conducted on the point cloud data and then converted to 0.05 m resolution rasters. Further quality control was conducted on the 0.05 m raster data to remove values that exceeded the .999th quantile and then resampled to 0.25 m grid cell resolution by taking the median. A detailed description of the UAV, payload, flight settings, and software packages used is provided in the supporting information.</w:t>
      </w:r>
    </w:p>
    <w:bookmarkEnd w:id="42"/>
    <w:bookmarkStart w:id="46" w:name="snow-surveys"/>
    <w:p>
      <w:pPr>
        <w:pStyle w:val="Heading2"/>
      </w:pPr>
      <w:r>
        <w:t xml:space="preserve">3.5 Snow surveys</w:t>
      </w:r>
    </w:p>
    <w:bookmarkStart w:id="44" w:name="in-situ-snow-depth-and-density"/>
    <w:p>
      <w:pPr>
        <w:pStyle w:val="Heading3"/>
      </w:pPr>
      <w:r>
        <w:t xml:space="preserve">3.5.1 In-situ snow depth and density</w:t>
      </w:r>
    </w:p>
    <w:p>
      <w:pPr>
        <w:pStyle w:val="FirstParagraph"/>
      </w:pPr>
      <w:r>
        <w:t xml:space="preserve">Event-based snow surveys provided measurements of subcanopy throughfall depth and density at 30 locations following the transects shown in</w:t>
      </w:r>
      <w:r>
        <w:t xml:space="preserve"> </w:t>
      </w:r>
      <w:hyperlink w:anchor="fig-site-map">
        <w:r>
          <w:rPr>
            <w:rStyle w:val="Hyperlink"/>
          </w:rPr>
          <w:t xml:space="preserve">Figure 1</w:t>
        </w:r>
      </w:hyperlink>
      <w:r>
        <w:t xml:space="preserve">. These measurements were used to upscale the weighed tree from weight to weight per unit area, assess the accuracy of lidar derived snow depth measurements, and provide a fresh snow density for the calculation of SWE (mm) from the snow depth measurements. Minimal ablation and redistribution of both the surface snowpack and/or snow intercepted in the canopy was crucial to ensure the snow survey measurements were attributed to throughfall. Therefore, only snowfall events with minimal canopy snow ablation as determined through in-situ observations, analysis of timelapse imagery, and mass change on the weighed tree lysimeter were selected.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BodyText"/>
      </w:pPr>
      <w:bookmarkStart w:id="43"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3"/>
    </w:p>
    <w:p>
      <w:pPr>
        <w:pStyle w:val="FirstParagraph"/>
      </w:pPr>
      <w:r>
        <w:t xml:space="preserve">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4"/>
    <w:bookmarkStart w:id="45" w:name="uav-lidar-snow-depth"/>
    <w:p>
      <w:pPr>
        <w:pStyle w:val="Heading3"/>
      </w:pPr>
      <w:r>
        <w:t xml:space="preserve">3.5.2 UAV-Lidar snow depth</w:t>
      </w:r>
    </w:p>
    <w:p>
      <w:pPr>
        <w:pStyle w:val="FirstParagraph"/>
      </w:pPr>
      <w:r>
        <w:t xml:space="preserve">Two uncrewed aerial vehicle (UAV) lidar surveys were conducted before and after a 24-hour snowfall event that occurred between March 13–14</w:t>
      </w:r>
      <w:r>
        <w:rPr>
          <w:vertAlign w:val="superscript"/>
        </w:rPr>
        <w:t xml:space="preserve">th</w:t>
      </w:r>
      <w:r>
        <w:t xml:space="preserve">, 2023 to facilitate the measurement of snow accumulation and canopy density within the FT and PWL forest plots. This period was selected based on two criteria: 1) it provided sufficient cumulative snowfall to result in a low relative error in UAV-lidar measured throughfall, and 2) minimal snow redistribution and ablation was observed, as confirmed by the SCLs, weighed tree, and time-lapse imagery. The change in surface elevation between the two UAV-lidar point clouds was interpreted as the increase in snow accumulation,</w:t>
      </w:r>
      <w:r>
        <w:t xml:space="preserve"> </w:t>
      </w:r>
      <m:oMath>
        <m:r>
          <m:t>Δ</m:t>
        </m:r>
        <m:r>
          <m:t>H</m:t>
        </m:r>
        <m:r>
          <m:t>S</m:t>
        </m:r>
      </m:oMath>
      <w:r>
        <w:t xml:space="preserve">, over the snowfall event.</w:t>
      </w:r>
      <w:r>
        <w:t xml:space="preserve"> </w:t>
      </w:r>
      <m:oMath>
        <m:r>
          <m:t>Δ</m:t>
        </m:r>
        <m:r>
          <m:t>S</m:t>
        </m:r>
        <m:r>
          <m:t>W</m:t>
        </m:r>
        <m:sSub>
          <m:e>
            <m:r>
              <m:t>E</m:t>
            </m:r>
          </m:e>
          <m:sub>
            <m:r>
              <m:t>t</m:t>
            </m:r>
            <m:r>
              <m:t>f</m:t>
            </m:r>
          </m:sub>
        </m:sSub>
      </m:oMath>
      <w:r>
        <w:t xml:space="preserve"> </w:t>
      </w:r>
      <w:r>
        <w:t xml:space="preserve">was calculated using</w:t>
      </w:r>
      <w:r>
        <w:t xml:space="preserve"> </w:t>
      </w:r>
      <w:hyperlink w:anchor="eq-swe-tf">
        <w:r>
          <w:rPr>
            <w:rStyle w:val="Hyperlink"/>
          </w:rPr>
          <w:t xml:space="preserve">Equation 6</w:t>
        </w:r>
      </w:hyperlink>
      <w:r>
        <w:t xml:space="preserve"> </w:t>
      </w:r>
      <w:r>
        <w:t xml:space="preserve">together with in-situ measurements of</w:t>
      </w:r>
      <w:r>
        <w:t xml:space="preserve"> </w:t>
      </w:r>
      <m:oMath>
        <m:bar>
          <m:barPr>
            <m:pos m:val="top"/>
          </m:barPr>
          <m:e>
            <m:sSub>
              <m:e>
                <m:r>
                  <m:t>ρ</m:t>
                </m:r>
              </m:e>
              <m:sub>
                <m:r>
                  <m:t>t</m:t>
                </m:r>
                <m:r>
                  <m:t>f</m:t>
                </m:r>
              </m:sub>
            </m:sSub>
          </m:e>
        </m:bar>
      </m:oMath>
      <w:r>
        <w:t xml:space="preserve">. The measurement error of the UAV-lidar derived</w:t>
      </w:r>
      <w:r>
        <w:t xml:space="preserve"> </w:t>
      </w:r>
      <m:oMath>
        <m:r>
          <m:t>Δ</m:t>
        </m:r>
        <m:r>
          <m:t>H</m:t>
        </m:r>
        <m:r>
          <m:t>S</m:t>
        </m:r>
      </m:oMath>
      <w:r>
        <w:t xml:space="preserve"> </w:t>
      </w:r>
      <w:r>
        <w:t xml:space="preserve">was assessed using the in-situ snow depth observations which is shown in the supporting information. Spatially distributed measurements of</w:t>
      </w:r>
      <w:r>
        <w:t xml:space="preserve"> </w:t>
      </w:r>
      <m:oMath>
        <m:f>
          <m:fPr>
            <m:type m:val="bar"/>
          </m:fPr>
          <m:num>
            <m:r>
              <m:t>I</m:t>
            </m:r>
          </m:num>
          <m:den>
            <m:r>
              <m:t>P</m:t>
            </m:r>
          </m:den>
        </m:f>
      </m:oMath>
      <w:r>
        <w:t xml:space="preserve">, were then determined using</w:t>
      </w:r>
      <w:r>
        <w:t xml:space="preserve"> </w:t>
      </w:r>
      <w:hyperlink w:anchor="eq-ip2">
        <w:r>
          <w:rPr>
            <w:rStyle w:val="Hyperlink"/>
          </w:rPr>
          <w:t xml:space="preserve">Equation 3</w:t>
        </w:r>
      </w:hyperlink>
      <w:r>
        <w:t xml:space="preserve"> </w:t>
      </w:r>
      <w:r>
        <w:t xml:space="preserve">by using</w:t>
      </w:r>
      <w:r>
        <w:t xml:space="preserve"> </w:t>
      </w:r>
      <m:oMath>
        <m:r>
          <m:t>Δ</m:t>
        </m:r>
        <m:r>
          <m:t>S</m:t>
        </m:r>
        <m:r>
          <m:t>W</m:t>
        </m:r>
        <m:sSub>
          <m:e>
            <m:r>
              <m:t>E</m:t>
            </m:r>
          </m:e>
          <m:sub>
            <m:r>
              <m:t>t</m:t>
            </m:r>
            <m:r>
              <m:t>f</m:t>
            </m:r>
          </m:sub>
        </m:sSub>
      </m:oMath>
      <w:r>
        <w:t xml:space="preserve"> </w:t>
      </w:r>
      <w:r>
        <w:t xml:space="preserve">as the throughfall component (</w:t>
      </w:r>
      <m:oMath>
        <m:sSub>
          <m:e>
            <m:r>
              <m:t>q</m:t>
            </m:r>
          </m:e>
          <m:sub>
            <m:r>
              <m:t>t</m:t>
            </m:r>
            <m:r>
              <m:t>f</m:t>
            </m:r>
          </m:sub>
        </m:sSub>
        <m:r>
          <m:t>Δ</m:t>
        </m:r>
        <m:r>
          <m:t>t</m:t>
        </m:r>
      </m:oMath>
      <w:r>
        <w:t xml:space="preserve">) and the snowfall accumulation to the open (</w:t>
      </w:r>
      <m:oMath>
        <m:sSub>
          <m:e>
            <m:r>
              <m:t>q</m:t>
            </m:r>
          </m:e>
          <m:sub>
            <m:r>
              <m:t>s</m:t>
            </m:r>
            <m:r>
              <m:t>f</m:t>
            </m:r>
          </m:sub>
        </m:sSub>
        <m:r>
          <m:t>Δ</m:t>
        </m:r>
        <m:r>
          <m:t>t</m:t>
        </m:r>
      </m:oMath>
      <w:r>
        <w:t xml:space="preserve">) measured between the two lidar surveys at PWL station.</w:t>
      </w:r>
    </w:p>
    <w:bookmarkEnd w:id="45"/>
    <w:bookmarkEnd w:id="46"/>
    <w:bookmarkStart w:id="49" w:name="uav-lidar-canopy-metrics"/>
    <w:p>
      <w:pPr>
        <w:pStyle w:val="Heading2"/>
      </w:pPr>
      <w:r>
        <w:t xml:space="preserve">3.6 UAV-Lidar canopy metrics</w:t>
      </w:r>
    </w:p>
    <w:p>
      <w:pPr>
        <w:pStyle w:val="FirstParagraph"/>
      </w:pPr>
      <w:r>
        <w:t xml:space="preserve">The canopy of the study site was characterized from two UAV-lidar point clouds (March 13</w:t>
      </w:r>
      <w:r>
        <w:rPr>
          <w:vertAlign w:val="superscript"/>
        </w:rPr>
        <w:t xml:space="preserve">th</w:t>
      </w:r>
      <w:r>
        <w:t xml:space="preserve"> </w:t>
      </w:r>
      <w:r>
        <w:t xml:space="preserve">and March 14</w:t>
      </w:r>
      <w:r>
        <w:rPr>
          <w:vertAlign w:val="superscript"/>
        </w:rPr>
        <w:t xml:space="preserve">th</w:t>
      </w:r>
      <w:r>
        <w:t xml:space="preserve">) using the voxel ray sampling (VoxRS) methodology for lidar data analysis, as developed by</w:t>
      </w:r>
      <w:r>
        <w:t xml:space="preserve"> </w:t>
      </w:r>
      <w:r>
        <w:t xml:space="preserve">Staines &amp; Pomeroy (2023)</w:t>
      </w:r>
      <w:r>
        <w:t xml:space="preserve">. This method was chosen for its ability to provide canopy metrics that are less sensitive to the inherent non-uniform nature of lidar sampling data, which often results from beam occlusion in vegetation and leads to reduced points near the ground. Using this method radiation transmittance,</w:t>
      </w:r>
      <w:r>
        <w:t xml:space="preserve"> </w:t>
      </w:r>
      <m:oMath>
        <m:r>
          <m:t>τ</m:t>
        </m:r>
      </m:oMath>
      <w:r>
        <w:t xml:space="preserve"> </w:t>
      </w:r>
      <w:r>
        <w:t xml:space="preserve">(-), was measured across the hemisphere at a 1° step, e.g.,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BodyText"/>
      </w:pPr>
      <w:bookmarkStart w:id="47"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7"/>
    </w:p>
    <w:p>
      <w:pPr>
        <w:pStyle w:val="FirstParagraph"/>
      </w:pPr>
      <w:bookmarkStart w:id="48"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8"/>
    </w:p>
    <w:p>
      <w:pPr>
        <w:pStyle w:val="FirstParagraph"/>
      </w:pPr>
      <w:r>
        <w:t xml:space="preserve">where</w:t>
      </w:r>
      <w:r>
        <w:t xml:space="preserve"> </w:t>
      </w:r>
      <m:oMath>
        <m:sSub>
          <m:e>
            <m:r>
              <m:t>C</m:t>
            </m:r>
          </m:e>
          <m:sub>
            <m:r>
              <m:t>p</m:t>
            </m:r>
          </m:sub>
        </m:sSub>
      </m:oMath>
      <w:r>
        <w:t xml:space="preserve"> </w:t>
      </w:r>
      <w:r>
        <w:t xml:space="preserve">is a function of the canopy cover (</w:t>
      </w:r>
      <m:oMath>
        <m:sSub>
          <m:e>
            <m:r>
              <m:t>C</m:t>
            </m:r>
          </m:e>
          <m:sub>
            <m:r>
              <m:t>c</m:t>
            </m:r>
          </m:sub>
        </m:sSub>
      </m:oMath>
      <w:r>
        <w:t xml:space="preserve">), hydrometeor trajectory angle (</w:t>
      </w:r>
      <m:oMath>
        <m:sSub>
          <m:e>
            <m:r>
              <m:t>θ</m:t>
            </m:r>
          </m:e>
          <m:sub>
            <m:r>
              <m:t>h</m:t>
            </m:r>
          </m:sub>
        </m:sSub>
      </m:oMath>
      <w:r>
        <w:t xml:space="preserve">), and canopy snow load (</w:t>
      </w:r>
      <m:oMath>
        <m:r>
          <m:t>L</m:t>
        </m:r>
      </m:oMath>
      <w:r>
        <w:t xml:space="preserve">).</w:t>
      </w:r>
      <w:r>
        <w:t xml:space="preserve"> </w:t>
      </w:r>
      <m:oMath>
        <m:sSub>
          <m:e>
            <m:r>
              <m:t>C</m:t>
            </m:r>
          </m:e>
          <m:sub>
            <m:r>
              <m:t>c</m:t>
            </m:r>
          </m:sub>
        </m:sSub>
      </m:oMath>
      <w:r>
        <w:t xml:space="preserve"> </w:t>
      </w:r>
      <w:r>
        <w:t xml:space="preserve">is the fraction of canopy area to total ground area when viewed from above, which differs from canopy closure, an angular-derived metric usually measured from the ground perspective.</w:t>
      </w:r>
    </w:p>
    <w:p>
      <w:pPr>
        <w:pStyle w:val="BodyText"/>
      </w:pPr>
      <w:r>
        <w:t xml:space="preserve">To determine how</w:t>
      </w:r>
      <w:r>
        <w:t xml:space="preserve"> </w:t>
      </w:r>
      <m:oMath>
        <m:sSub>
          <m:e>
            <m:r>
              <m:t>C</m:t>
            </m:r>
          </m:e>
          <m:sub>
            <m:r>
              <m:t>p</m:t>
            </m:r>
          </m:sub>
        </m:sSub>
      </m:oMath>
      <w:r>
        <w:t xml:space="preserve"> </w:t>
      </w:r>
      <w:r>
        <w:t xml:space="preserve">was associated with interception efficiency at different azimuth and zenith angles over the March 13–14</w:t>
      </w:r>
      <w:r>
        <w:rPr>
          <w:vertAlign w:val="superscript"/>
        </w:rPr>
        <w:t xml:space="preserve">th</w:t>
      </w:r>
      <w:r>
        <w:t xml:space="preserve"> </w:t>
      </w:r>
      <w:r>
        <w:t xml:space="preserve">snowfall event, the entire hemisphere at each grid location was considered. The relationship between interception efficiency and</w:t>
      </w:r>
      <w:r>
        <w:t xml:space="preserve"> </w:t>
      </w:r>
      <m:oMath>
        <m:sSub>
          <m:e>
            <m:r>
              <m:t>C</m:t>
            </m:r>
          </m:e>
          <m:sub>
            <m:r>
              <m:t>p</m:t>
            </m:r>
          </m:sub>
        </m:sSub>
      </m:oMath>
      <w:r>
        <w:t xml:space="preserve"> </w:t>
      </w:r>
      <w:r>
        <w:t xml:space="preserve">was found to be linear and thus the Pearson Correlation Coefficient (</w:t>
      </w:r>
      <m:oMath>
        <m:sSub>
          <m:e>
            <m:r>
              <m:t>ρ</m:t>
            </m:r>
          </m:e>
          <m:sub>
            <m:r>
              <m:t>p</m:t>
            </m:r>
          </m:sub>
        </m:sSub>
      </m:oMath>
      <w:r>
        <w:t xml:space="preserve">) was used. The</w:t>
      </w:r>
      <w:r>
        <w:t xml:space="preserve"> </w:t>
      </w:r>
      <m:oMath>
        <m:sSub>
          <m:e>
            <m:r>
              <m:t>ρ</m:t>
            </m:r>
          </m:e>
          <m:sub>
            <m:r>
              <m:t>p</m:t>
            </m:r>
          </m:sub>
        </m:sSub>
      </m:oMath>
      <w:r>
        <w:t xml:space="preserve"> </w:t>
      </w:r>
      <w:r>
        <w:t xml:space="preserve">was computed between a single raster of interception efficiency and each of the 32,760 rasters of</w:t>
      </w:r>
      <w:r>
        <w:t xml:space="preserve"> </w:t>
      </w:r>
      <m:oMath>
        <m:sSub>
          <m:e>
            <m:r>
              <m:t>C</m:t>
            </m:r>
          </m:e>
          <m:sub>
            <m:r>
              <m:t>p</m:t>
            </m:r>
          </m:sub>
        </m:sSub>
      </m:oMath>
      <w:r>
        <w:t xml:space="preserve"> </w:t>
      </w:r>
      <w:r>
        <w:t xml:space="preserve">measured on March 13</w:t>
      </w:r>
      <w:r>
        <w:rPr>
          <w:vertAlign w:val="superscript"/>
        </w:rPr>
        <w:t xml:space="preserve">th</w:t>
      </w:r>
      <w:r>
        <w:t xml:space="preserve">, representing locations across the hemisphere (azimuth [0°, 1°, …, 359°], zenith angle [0°, 1°, …, 90°]) at 0.25 m grid cells spanning the FT and PWL forest plots.</w:t>
      </w:r>
    </w:p>
    <w:bookmarkEnd w:id="49"/>
    <w:bookmarkStart w:id="50" w:name="statistics-and-regression-models"/>
    <w:p>
      <w:pPr>
        <w:pStyle w:val="Heading2"/>
      </w:pPr>
      <w:r>
        <w:t xml:space="preserve">3.7 Statistics and regression models</w:t>
      </w:r>
    </w:p>
    <w:p>
      <w:pPr>
        <w:pStyle w:val="FirstParagraph"/>
      </w:pPr>
      <w:r>
        <w:t xml:space="preserve">Linear and non-linear regression models were developed to assess relationships in the observed data. Linear models were fitted using ordinary least squares regression to analyze two relationships: (1) between interception efficiency and meteorological variables and (2) between interception efficiency and leaf contact area. The latter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to investigate the relationship of leaf contact area with simulated trajectory angle using non-linear least squares regression. All statistical analyses were conducted using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w:t>
      </w:r>
    </w:p>
    <w:bookmarkEnd w:id="50"/>
    <w:bookmarkEnd w:id="51"/>
    <w:bookmarkStart w:id="101" w:name="results"/>
    <w:p>
      <w:pPr>
        <w:pStyle w:val="Heading1"/>
      </w:pPr>
      <w:r>
        <w:t xml:space="preserve">4. Results</w:t>
      </w:r>
    </w:p>
    <w:bookmarkStart w:id="66" w:name="X0c7c639988e671d0ab393214f7750e69f9c2773"/>
    <w:p>
      <w:pPr>
        <w:pStyle w:val="Heading2"/>
      </w:pPr>
      <w:r>
        <w:t xml:space="preserve">4.1 The influence of meteorology on snow interception</w:t>
      </w:r>
    </w:p>
    <w:p>
      <w:pPr>
        <w:pStyle w:val="FirstParagraph"/>
      </w:pPr>
      <w:hyperlink w:anchor="fig-scl-w-sf">
        <w:r>
          <w:rPr>
            <w:rStyle w:val="Hyperlink"/>
          </w:rPr>
          <w:t xml:space="preserve">Figure 3</w:t>
        </w:r>
      </w:hyperlink>
      <w:r>
        <w:t xml:space="preserve"> </w:t>
      </w:r>
      <w:r>
        <w:t xml:space="preserve">shows that canopy snow load increases linearly with cumulative snowfall across 26 snowfall events for both the SCL and weighed tree measurements with no evidence of approaching a canopy snow load capacity was observed for snowfall events up to 45 mm.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Hyperlink"/>
          </w:rPr>
          <w:t xml:space="preserve">Table 2</w:t>
        </w:r>
      </w:hyperlink>
      <w:r>
        <w:t xml:space="preserve">), and wind direction was predominately from the southwest during snowfall (</w:t>
      </w:r>
      <w:hyperlink w:anchor="fig-wind-rose">
        <w:r>
          <w:rPr>
            <w:rStyle w:val="Hyperlink"/>
          </w:rPr>
          <w:t xml:space="preserve">Figure 4</w:t>
        </w:r>
      </w:hyperlink>
      <w:r>
        <w:t xml:space="preserve">). Missing canopy snow load measurements, as shown in</w:t>
      </w:r>
      <w:r>
        <w:t xml:space="preserve"> </w:t>
      </w:r>
      <w:hyperlink w:anchor="fig-scl-w-sf">
        <w:r>
          <w:rPr>
            <w:rStyle w:val="Hyperlink"/>
          </w:rPr>
          <w:t xml:space="preserve">Figure 3</w:t>
        </w:r>
      </w:hyperlink>
      <w:r>
        <w:t xml:space="preserve"> </w:t>
      </w:r>
      <w:r>
        <w:t xml:space="preserve">for certain events, were caused by wiring damage from animals and heavy snow loads. Some of the variability in interception rates within and between different events may be attributed to small amounts of canopy snow unloading and melt, which could not be fully accounted for through the manual and automated filtering mitigation strategies in both the SCL and weighed tree measurements.</w:t>
      </w:r>
    </w:p>
    <w:tbl>
      <w:tblPr>
        <w:tblStyle w:val="Table"/>
        <w:tblW w:type="pct" w:w="5000"/>
        <w:tblLayout w:type="fixed"/>
        <w:tblLook w:firstRow="0" w:lastRow="0" w:firstColumn="0" w:lastColumn="0" w:noHBand="0" w:noVBand="0" w:val="0000"/>
      </w:tblPr>
      <w:tblGrid>
        <w:gridCol w:w="7920"/>
      </w:tblGrid>
      <w:tr>
        <w:tc>
          <w:tcPr/>
          <w:bookmarkStart w:id="55" w:name="fig-scl-w-sf"/>
          <w:p>
            <w:pPr>
              <w:pStyle w:val="Compact"/>
              <w:jc w:val="center"/>
            </w:pPr>
            <w:r>
              <w:drawing>
                <wp:inline>
                  <wp:extent cx="5943600" cy="2971800"/>
                  <wp:effectExtent b="0" l="0" r="0" t="0"/>
                  <wp:docPr descr="" title="" id="53" name="Picture"/>
                  <a:graphic>
                    <a:graphicData uri="http://schemas.openxmlformats.org/drawingml/2006/picture">
                      <pic:pic>
                        <pic:nvPicPr>
                          <pic:cNvPr descr="figs/automated_snowfall_event_periods/cuml_event_snowfall_canopy_storage_avg_of_scls_and_w_tree.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canopy snow load calculated using the average of the three subcanopy lysimeters (left) and weighed tree lysimeter (right) for each of the 26 snowfall events. Both datasets represent canopy snow load for a canopy closure of 0.73.</w:t>
            </w:r>
          </w:p>
          <w:bookmarkEnd w:id="55"/>
        </w:tc>
      </w:tr>
    </w:tbl>
    <w:tbl>
      <w:tblPr>
        <w:tblStyle w:val="Table"/>
        <w:tblW w:type="pct" w:w="5000"/>
        <w:tblLayout w:type="fixed"/>
        <w:tblLook w:firstRow="0" w:lastRow="0" w:firstColumn="0" w:lastColumn="0" w:noHBand="0" w:noVBand="0" w:val="0000"/>
      </w:tblPr>
      <w:tblGrid>
        <w:gridCol w:w="7920"/>
      </w:tblGrid>
      <w:tr>
        <w:tc>
          <w:tcPr/>
          <w:bookmarkStart w:id="56" w:name="tbl-sf-event-met"/>
          <w:p>
            <w:pPr>
              <w:jc w:val="center"/>
            </w:pPr>
            <w:pPr>
              <w:jc w:val="start"/>
              <w:spacing w:before="200"/>
              <w:pStyle w:val="ImageCaption"/>
            </w:pPr>
            <w:r>
              <w:t xml:space="preserve">Table 2: Meteorology of the 26 snowfall events. Air temperature and wind speed were measured at FT station. Interception efficiency is estimated from snowfall measured at PWL station and the average throughfall of all three SCLs located within the FT forest plot (all from 15-min. measurements).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Air Temperature (°C)</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Wind Speed (m/s)</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Interception Efficiency (-)</w:t>
                  </w:r>
                </w:p>
              </w:tc>
              <w:tc>
                <w:tcPr>
                  <w:tcBorders>
                    <w:top w:val="single" w:sz="16" w:space="0" w:color="D3D3D3"/>
                    <w:bottom w:val="single" w:sz="16" w:space="0" w:color="D3D3D3"/>
                    <w:end w:val="single" w:space="0" w:color="D3D3D3"/>
                  </w:tcBorders>
                  <w:gridSpan w:val="1"/>
                </w:tcPr>
                <w:p>
                  <w:pPr>
                    <w:spacing w:before="0" w:after="60"/>
                    <w:keepNext/>
                    <w:jc w:val="center"/>
                  </w:pPr>
                  <w:r>
                    <w:rPr>
                      <w:rFonts w:ascii="Calibri" w:hAnsi="Calibri"/>
                      <w:sz w:val="20"/>
                    </w:rPr>
                    <w:t xml:space="preserve">Snowfall (mm)</w: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Start Date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2021-12-23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2022-12-27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2023-01-27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2023-05-08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56"/>
        </w:tc>
      </w:tr>
    </w:tbl>
    <w:tbl>
      <w:tblPr>
        <w:tblStyle w:val="Table"/>
        <w:tblW w:type="pct" w:w="5000"/>
        <w:tblLayout w:type="fixed"/>
        <w:tblLook w:firstRow="0" w:lastRow="0" w:firstColumn="0" w:lastColumn="0" w:noHBand="0" w:noVBand="0" w:val="0000"/>
      </w:tblPr>
      <w:tblGrid>
        <w:gridCol w:w="7920"/>
      </w:tblGrid>
      <w:tr>
        <w:tc>
          <w:tcPr/>
          <w:bookmarkStart w:id="60" w:name="fig-wind-rose"/>
          <w:p>
            <w:pPr>
              <w:pStyle w:val="Compact"/>
              <w:jc w:val="center"/>
            </w:pPr>
            <w:r>
              <w:drawing>
                <wp:inline>
                  <wp:extent cx="3566160" cy="3413465"/>
                  <wp:effectExtent b="0" l="0" r="0" t="0"/>
                  <wp:docPr descr="" title="" id="58" name="Picture"/>
                  <a:graphic>
                    <a:graphicData uri="http://schemas.openxmlformats.org/drawingml/2006/picture">
                      <pic:pic>
                        <pic:nvPicPr>
                          <pic:cNvPr descr="figs/automated_snowfall_event_periods/ft_wind_rose_allevents_snowing_custom_dimensions.png" id="59" name="Picture"/>
                          <pic:cNvPicPr>
                            <a:picLocks noChangeArrowheads="1" noChangeAspect="1"/>
                          </pic:cNvPicPr>
                        </pic:nvPicPr>
                        <pic:blipFill>
                          <a:blip r:embed="rId57"/>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60"/>
        </w:tc>
      </w:tr>
    </w:tbl>
    <w:p>
      <w:pPr>
        <w:pStyle w:val="BodyText"/>
      </w:pPr>
      <w:hyperlink w:anchor="fig-scl-ip-bins">
        <w:r>
          <w:rPr>
            <w:rStyle w:val="Hyperlink"/>
          </w:rPr>
          <w:t xml:space="preserve">Figure 5</w:t>
        </w:r>
      </w:hyperlink>
      <w:r>
        <w:t xml:space="preserve"> </w:t>
      </w:r>
      <w:r>
        <w:t xml:space="preserve">presents interception efficiency calculated from accumulated snowfall (Pluvio) and throughfall (SCL) measurements for bins of air temperature, wind speed, and initial canopy snow load during periods of minimal canopy snow ablation. No correlation was found between hourly interception efficiency and these variables, either due to insignificant relationships (</w:t>
      </w:r>
      <w:r>
        <w:rPr>
          <w:i/>
          <w:iCs/>
        </w:rPr>
        <w:t xml:space="preserve">p</w:t>
      </w:r>
      <w:r>
        <w:t xml:space="preserve"> </w:t>
      </w:r>
      <w:r>
        <w:t xml:space="preserve">&lt; 0.05), low predictive power, or both. The hourly measurements exhibited a large amount of scatter with limited visual signal, likely due to Gaussian instrument error, and are not shown in</w:t>
      </w:r>
      <w:r>
        <w:t xml:space="preserve"> </w:t>
      </w:r>
      <w:hyperlink w:anchor="fig-scl-ip-bins">
        <w:r>
          <w:rPr>
            <w:rStyle w:val="Hyperlink"/>
          </w:rPr>
          <w:t xml:space="preserve">Figure 5</w:t>
        </w:r>
      </w:hyperlink>
      <w:r>
        <w:t xml:space="preserve">. To evaluate the associations observed in</w:t>
      </w:r>
      <w:r>
        <w:t xml:space="preserve"> </w:t>
      </w:r>
      <w:hyperlink w:anchor="fig-scl-ip-bins">
        <w:r>
          <w:rPr>
            <w:rStyle w:val="Hyperlink"/>
          </w:rPr>
          <w:t xml:space="preserve">Figure 5</w:t>
        </w:r>
      </w:hyperlink>
      <w:r>
        <w:t xml:space="preserve">, the non-parametric Wilcoxon signed-rank test was applied to compared the median hourly interception efficiency across differing groups of air temperature, wind speed, and initial canopy snow load. The results from this test are shown in</w:t>
      </w:r>
      <w:r>
        <w:t xml:space="preserve"> </w:t>
      </w:r>
      <w:hyperlink w:anchor="tbl-scl-hrly-stats">
        <w:r>
          <w:rPr>
            <w:rStyle w:val="Hyperlink"/>
          </w:rPr>
          <w:t xml:space="preserve">Table 3</w:t>
        </w:r>
      </w:hyperlink>
      <w:r>
        <w:t xml:space="preserve">.</w:t>
      </w:r>
    </w:p>
    <w:p>
      <w:pPr>
        <w:pStyle w:val="BodyText"/>
      </w:pPr>
      <w:r>
        <w:t xml:space="preserve">The interception efficiency observed in</w:t>
      </w:r>
      <w:r>
        <w:t xml:space="preserve"> </w:t>
      </w:r>
      <w:hyperlink w:anchor="fig-scl-ip-bins">
        <w:r>
          <w:rPr>
            <w:rStyle w:val="Hyperlink"/>
          </w:rPr>
          <w:t xml:space="preserve">Figure 5</w:t>
        </w:r>
      </w:hyperlink>
      <w:r>
        <w:t xml:space="preserve"> </w:t>
      </w:r>
      <w:r>
        <w:t xml:space="preserve">across differing bins of air temperature did not exhibit a clear visual association. Additionally, the difference in median hourly interception efficiency for air temperatures above and below -5°C was not significant (</w:t>
      </w:r>
      <w:r>
        <w:rPr>
          <w:i/>
          <w:iCs/>
        </w:rPr>
        <w:t xml:space="preserve">p</w:t>
      </w:r>
      <w:r>
        <w:t xml:space="preserve"> </w:t>
      </w:r>
      <w:r>
        <w:t xml:space="preserve">&gt; 0.05,</w:t>
      </w:r>
      <w:r>
        <w:t xml:space="preserve"> </w:t>
      </w:r>
      <w:hyperlink w:anchor="tbl-scl-hrly-stats">
        <w:r>
          <w:rPr>
            <w:rStyle w:val="Hyperlink"/>
          </w:rPr>
          <w:t xml:space="preserve">Table 3</w:t>
        </w:r>
      </w:hyperlink>
      <w:r>
        <w:t xml:space="preserve">). While</w:t>
      </w:r>
      <w:r>
        <w:t xml:space="preserve"> </w:t>
      </w:r>
      <w:hyperlink w:anchor="fig-scl-ip-bins">
        <w:r>
          <w:rPr>
            <w:rStyle w:val="Hyperlink"/>
          </w:rPr>
          <w:t xml:space="preserve">Figure 5</w:t>
        </w:r>
      </w:hyperlink>
      <w:r>
        <w:t xml:space="preserve"> </w:t>
      </w:r>
      <w:r>
        <w:t xml:space="preserve">suggests some air temperature bins below -10°C have slightly higher interception efficiency in the sparse and mixed canopies, these measurements are highly uncertain due to increased instrument error associated with low accumulated snowfall and throughfall in these bins.</w:t>
      </w:r>
    </w:p>
    <w:p>
      <w:pPr>
        <w:pStyle w:val="BodyText"/>
      </w:pPr>
      <w:r>
        <w:t xml:space="preserve">Binned interception efficiency increased with wind speed in the sparse and closed canopies (</w:t>
      </w:r>
      <w:hyperlink w:anchor="fig-scl-ip-bins">
        <w:r>
          <w:rPr>
            <w:rStyle w:val="Hyperlink"/>
          </w:rPr>
          <w:t xml:space="preserve">Figure 5</w:t>
        </w:r>
      </w:hyperlink>
      <w:r>
        <w:t xml:space="preserve">). A significantly greater median hourly interception efficiency (</w:t>
      </w:r>
      <w:r>
        <w:rPr>
          <w:i/>
          <w:iCs/>
        </w:rPr>
        <w:t xml:space="preserve">p</w:t>
      </w:r>
      <w:r>
        <w:t xml:space="preserve"> </w:t>
      </w:r>
      <w:r>
        <w:t xml:space="preserve">&lt; 0.05,</w:t>
      </w:r>
      <w:r>
        <w:t xml:space="preserve"> </w:t>
      </w:r>
      <w:hyperlink w:anchor="tbl-scl-hrly-stats">
        <w:r>
          <w:rPr>
            <w:rStyle w:val="Hyperlink"/>
          </w:rPr>
          <w:t xml:space="preserve">Table 3</w:t>
        </w:r>
      </w:hyperlink>
      <w:r>
        <w:t xml:space="preserve">) was found for wind speeds exceeding 1 m s</w:t>
      </w:r>
      <w:r>
        <w:rPr>
          <w:vertAlign w:val="superscript"/>
        </w:rPr>
        <w:t xml:space="preserve">-1</w:t>
      </w:r>
      <w:r>
        <w:t xml:space="preserve"> </w:t>
      </w:r>
      <w:r>
        <w:t xml:space="preserve">compared to those below this threshold in these two canopies. In contrast, the mixed canopy, which had a canopy opening towards the prevailing wind direction (</w:t>
      </w:r>
      <w:hyperlink w:anchor="fig-scl-imgs">
        <w:r>
          <w:rPr>
            <w:rStyle w:val="Hyperlink"/>
          </w:rPr>
          <w:t xml:space="preserve">Figure 2</w:t>
        </w:r>
      </w:hyperlink>
      <w:r>
        <w:t xml:space="preserve">), exhibited no significant difference (</w:t>
      </w:r>
      <w:r>
        <w:rPr>
          <w:i/>
          <w:iCs/>
        </w:rPr>
        <w:t xml:space="preserve">p</w:t>
      </w:r>
      <w:r>
        <w:t xml:space="preserve"> </w:t>
      </w:r>
      <w:r>
        <w:t xml:space="preserve">&gt; 0.05,</w:t>
      </w:r>
      <w:r>
        <w:t xml:space="preserve"> </w:t>
      </w:r>
      <w:hyperlink w:anchor="tbl-scl-hrly-stats">
        <w:r>
          <w:rPr>
            <w:rStyle w:val="Hyperlink"/>
          </w:rPr>
          <w:t xml:space="preserve">Table 3</w:t>
        </w:r>
      </w:hyperlink>
      <w:r>
        <w:t xml:space="preserve">). High uncertainty in interception efficiency for wind speed bins above 2 m s</w:t>
      </w:r>
      <w:r>
        <w:rPr>
          <w:vertAlign w:val="superscript"/>
        </w:rPr>
        <w:t xml:space="preserve">-1</w:t>
      </w:r>
      <w:r>
        <w:t xml:space="preserve"> </w:t>
      </w:r>
      <w:r>
        <w:t xml:space="preserve">reduces confidence in these binned measurements for all three canopies.</w:t>
      </w:r>
    </w:p>
    <w:p>
      <w:pPr>
        <w:pStyle w:val="BodyText"/>
      </w:pPr>
      <w:r>
        <w:t xml:space="preserve">Interception efficiency varied considerably across initial canopy snow load bins, with a slight increase with increasing snow load observed for the sparse and closed canopies for snow loads below 10 mm. This was later followed by a decline in interception efficiency with increasing snow load above 10 mm (</w:t>
      </w:r>
      <w:hyperlink w:anchor="fig-scl-ip-bins">
        <w:r>
          <w:rPr>
            <w:rStyle w:val="Hyperlink"/>
          </w:rPr>
          <w:t xml:space="preserve">Figure 5</w:t>
        </w:r>
      </w:hyperlink>
      <w:r>
        <w:t xml:space="preserve">). Hourly interception efficiency was found to be significantly greater (</w:t>
      </w:r>
      <w:r>
        <w:rPr>
          <w:i/>
          <w:iCs/>
        </w:rPr>
        <w:t xml:space="preserve">p</w:t>
      </w:r>
      <w:r>
        <w:t xml:space="preserve"> </w:t>
      </w:r>
      <w:r>
        <w:t xml:space="preserve">&lt; 0.05,</w:t>
      </w:r>
      <w:r>
        <w:t xml:space="preserve"> </w:t>
      </w:r>
      <w:hyperlink w:anchor="tbl-scl-hrly-stats">
        <w:r>
          <w:rPr>
            <w:rStyle w:val="Hyperlink"/>
          </w:rPr>
          <w:t xml:space="preserve">Table 3</w:t>
        </w:r>
      </w:hyperlink>
      <w:r>
        <w:t xml:space="preserve">) for initial canopy snow loads below 10 mm compared to heavier snow loads for all three canopies. Significantly lower interception efficiency (</w:t>
      </w:r>
      <w:r>
        <w:rPr>
          <w:i/>
          <w:iCs/>
        </w:rPr>
        <w:t xml:space="preserve">p</w:t>
      </w:r>
      <w:r>
        <w:t xml:space="preserve"> </w:t>
      </w:r>
      <w:r>
        <w:t xml:space="preserve">&lt; 0.05) was also found for snow loads below 5 mm compared to those between 5–10 m in the sparse and mixed canopy. A similar initial increase was observed in</w:t>
      </w:r>
      <w:r>
        <w:t xml:space="preserve"> </w:t>
      </w:r>
      <w:hyperlink w:anchor="fig-scl-ip-bins">
        <w:r>
          <w:rPr>
            <w:rStyle w:val="Hyperlink"/>
          </w:rPr>
          <w:t xml:space="preserve">Figure 5</w:t>
        </w:r>
      </w:hyperlink>
      <w:r>
        <w:t xml:space="preserve"> </w:t>
      </w:r>
      <w:r>
        <w:t xml:space="preserve">for the closed canopy but was not statistically significant (</w:t>
      </w:r>
      <w:r>
        <w:rPr>
          <w:i/>
          <w:iCs/>
        </w:rPr>
        <w:t xml:space="preserve">p</w:t>
      </w:r>
      <w:r>
        <w:t xml:space="preserve"> </w:t>
      </w:r>
      <w:r>
        <w:t xml:space="preserve">&gt; 0.05). Above 15 mm,</w:t>
      </w:r>
      <w:r>
        <w:t xml:space="preserve"> </w:t>
      </w:r>
      <w:hyperlink w:anchor="fig-scl-ip-bins">
        <w:r>
          <w:rPr>
            <w:rStyle w:val="Hyperlink"/>
          </w:rPr>
          <w:t xml:space="preserve">Figure 5</w:t>
        </w:r>
      </w:hyperlink>
      <w:r>
        <w:t xml:space="preserve"> </w:t>
      </w:r>
      <w:r>
        <w:t xml:space="preserve">shows a decline in interception efficiency for the sparse and closed canopies, while the mixed canopy exhibited an increased; however, all bins exhibiting this opposing trend had high measurement uncertainties.</w:t>
      </w:r>
    </w:p>
    <w:tbl>
      <w:tblPr>
        <w:tblStyle w:val="Table"/>
        <w:tblW w:type="pct" w:w="5000"/>
        <w:tblLayout w:type="fixed"/>
        <w:tblLook w:firstRow="0" w:lastRow="0" w:firstColumn="0" w:lastColumn="0" w:noHBand="0" w:noVBand="0" w:val="0000"/>
      </w:tblPr>
      <w:tblGrid>
        <w:gridCol w:w="7920"/>
      </w:tblGrid>
      <w:tr>
        <w:tc>
          <w:tcPr/>
          <w:bookmarkStart w:id="64" w:name="fig-scl-ip-bins"/>
          <w:p>
            <w:pPr>
              <w:pStyle w:val="Compact"/>
              <w:jc w:val="center"/>
            </w:pPr>
            <w:r>
              <w:drawing>
                <wp:inline>
                  <wp:extent cx="5943600" cy="5943600"/>
                  <wp:effectExtent b="0" l="0" r="0" t="0"/>
                  <wp:docPr descr="" title="" id="62" name="Picture"/>
                  <a:graphic>
                    <a:graphicData uri="http://schemas.openxmlformats.org/drawingml/2006/picture">
                      <pic:pic>
                        <pic:nvPicPr>
                          <pic:cNvPr descr="figs/automated_snowfall_event_periods/troughs_met_vs_IP_accumulated_bin.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interception efficiency calculated from accumulated snowfall (Pluvio) and throughfall (SCL) measurements for bins of air temperature, wind speed, and initial canopy snow load (the snow load observed by the weighed tree at the beginning of the timestep) over the 26 snowfall events. The error bars represent the estimated combined instrument error of the snowfall gauge and SCLs.</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5" w:name="tbl-scl-hrly-stats"/>
          <w:p>
            <w:pPr>
              <w:jc w:val="center"/>
            </w:pPr>
            <w:pPr>
              <w:jc w:val="start"/>
              <w:spacing w:before="200"/>
              <w:pStyle w:val="ImageCaption"/>
            </w:pPr>
            <w:r>
              <w:t xml:space="preserve">Table 3: Results of the Wilcoxon signed-rank tests comparing interception efficiency (IP) for differing groups of air temperatures (Ta), wind speeds (u), and initial canopy snow loads (L). The table reports the canopy corresponding to the SCL (Canopy), null hypothesis (</w:t>
            </w:r>
            <m:oMath>
              <m:sSub>
                <m:e>
                  <m:r>
                    <m:t>H</m:t>
                  </m:r>
                </m:e>
                <m:sub>
                  <m:r>
                    <m:t>0</m:t>
                  </m:r>
                </m:sub>
              </m:sSub>
            </m:oMath>
            <w:r>
              <w:t xml:space="preserve">),</w:t>
            </w:r>
            <w:r>
              <w:t xml:space="preserve"> </w:t>
            </w:r>
            <m:oMath>
              <m:r>
                <m:t>p</m:t>
              </m:r>
            </m:oMath>
            <w:r>
              <w:t xml:space="preserve">-value, and sample size (</w:t>
            </w:r>
            <m:oMath>
              <m:r>
                <m:t>n</m:t>
              </m:r>
            </m:oMath>
            <w:r>
              <w:t xml:space="preserve">) and median IP for for the</w:t>
            </w:r>
            <w:r>
              <w:t xml:space="preserve"> </w:t>
            </w:r>
            <w:r>
              <w:t xml:space="preserve">‘</w:t>
            </w:r>
            <w:r>
              <w:t xml:space="preserve">low</w:t>
            </w:r>
            <w:r>
              <w:t xml:space="preserve">’</w:t>
            </w:r>
            <w:r>
              <w:t xml:space="preserve"> </w:t>
            </w:r>
            <w:r>
              <w:t xml:space="preserve">group (e.g., Ta &lt; -5°C) and</w:t>
            </w:r>
            <w:r>
              <w:t xml:space="preserve"> </w:t>
            </w:r>
            <w:r>
              <w:t xml:space="preserve">‘</w:t>
            </w:r>
            <w:r>
              <w:t xml:space="preserve">high</w:t>
            </w:r>
            <w:r>
              <w:t xml:space="preserve">’</w:t>
            </w:r>
            <w:r>
              <w:t xml:space="preserve"> </w:t>
            </w:r>
            <w:r>
              <w:t xml:space="preserve">group (e.g., Ta ≥ -5°C). The null hypothesis was rejected based on</w:t>
            </w:r>
            <w:r>
              <w:t xml:space="preserve"> </w:t>
            </w:r>
            <w:r>
              <w:t xml:space="preserve">$lpha = 0.05$</w:t>
            </w:r>
            <w:r>
              <w:t xml:space="preserve">.</w:t>
            </w:r>
          </w:p>
          <w:tbl>
            <w:tblPr>
              <w:tblStyle w:val="Table"/>
              <w:tblW w:type="pct" w:w="5000"/>
              <w:tblLayout w:type="fixed"/>
              <w:tblLook w:firstRow="1" w:lastRow="0" w:firstColumn="0" w:lastColumn="0" w:noHBand="0" w:noVBand="0" w:val="0020"/>
            </w:tblPr>
            <w:tblGrid>
              <w:gridCol w:w="950"/>
              <w:gridCol w:w="2376"/>
              <w:gridCol w:w="950"/>
              <w:gridCol w:w="1425"/>
              <w:gridCol w:w="1188"/>
              <w:gridCol w:w="1029"/>
            </w:tblGrid>
            <w:tr>
              <w:trPr>
                <w:tblHeader w:val="on"/>
              </w:trPr>
              <w:tc>
                <w:tcPr/>
                <w:p>
                  <w:pPr>
                    <w:pStyle w:val="Compact"/>
                    <w:jc w:val="left"/>
                    <w:jc w:val="center"/>
                  </w:pPr>
                  <w:r>
                    <w:t xml:space="preserve">Canopy</w:t>
                  </w:r>
                </w:p>
              </w:tc>
              <w:tc>
                <w:tcPr/>
                <w:p>
                  <w:pPr>
                    <w:pStyle w:val="Compact"/>
                    <w:jc w:val="left"/>
                    <w:jc w:val="center"/>
                  </w:pPr>
                  <w:r>
                    <w:t xml:space="preserve">Null Hypothesis (</w:t>
                  </w:r>
                  <m:oMath>
                    <m:sSub>
                      <m:e>
                        <m:r>
                          <m:t>H</m:t>
                        </m:r>
                      </m:e>
                      <m:sub>
                        <m:r>
                          <m:t>0</m:t>
                        </m:r>
                      </m:sub>
                    </m:sSub>
                  </m:oMath>
                  <w:r>
                    <w:t xml:space="preserve">)</w:t>
                  </w:r>
                </w:p>
              </w:tc>
              <w:tc>
                <w:tcPr/>
                <w:p>
                  <w:pPr>
                    <w:pStyle w:val="Compact"/>
                    <w:jc w:val="left"/>
                    <w:jc w:val="center"/>
                  </w:pPr>
                  <m:oMath>
                    <m:r>
                      <m:t>p</m:t>
                    </m:r>
                  </m:oMath>
                  <w:r>
                    <w:t xml:space="preserve">-value</w:t>
                  </w:r>
                </w:p>
              </w:tc>
              <w:tc>
                <w:tcPr/>
                <w:p>
                  <w:pPr>
                    <w:pStyle w:val="Compact"/>
                    <w:jc w:val="left"/>
                    <w:jc w:val="center"/>
                  </w:pPr>
                  <m:oMath>
                    <m:r>
                      <m:t>n</m:t>
                    </m:r>
                  </m:oMath>
                  <w:r>
                    <w:t xml:space="preserve"> </w:t>
                  </w:r>
                  <w:r>
                    <w:t xml:space="preserve">(low / high)</w:t>
                  </w:r>
                </w:p>
              </w:tc>
              <w:tc>
                <w:tcPr/>
                <w:p>
                  <w:pPr>
                    <w:pStyle w:val="Compact"/>
                    <w:jc w:val="left"/>
                    <w:jc w:val="center"/>
                  </w:pPr>
                  <w:r>
                    <w:t xml:space="preserve">median I/P (low / high)</w:t>
                  </w:r>
                </w:p>
              </w:tc>
              <w:tc>
                <w:tcPr/>
                <w:p>
                  <w:pPr>
                    <w:pStyle w:val="Compact"/>
                    <w:jc w:val="left"/>
                    <w:jc w:val="center"/>
                  </w:pPr>
                  <w:r>
                    <w:t xml:space="preserve">Reject</w:t>
                  </w:r>
                  <w:r>
                    <w:t xml:space="preserve"> </w:t>
                  </w:r>
                  <m:oMath>
                    <m:sSub>
                      <m:e>
                        <m:r>
                          <m:t>H</m:t>
                        </m:r>
                      </m:e>
                      <m:sub>
                        <m:r>
                          <m:t>0</m:t>
                        </m:r>
                      </m:sub>
                    </m:sSub>
                  </m:oMath>
                </w:p>
              </w:tc>
            </w:tr>
            <w:tr>
              <w:tc>
                <w:tcPr/>
                <w:p>
                  <w:pPr>
                    <w:pStyle w:val="Compact"/>
                    <w:jc w:val="left"/>
                    <w:jc w:val="center"/>
                  </w:pPr>
                  <w:r>
                    <w:t xml:space="preserve">closed</w:t>
                  </w:r>
                </w:p>
              </w:tc>
              <w:tc>
                <w:tcPr/>
                <w:p>
                  <w:pPr>
                    <w:pStyle w:val="Compact"/>
                    <w:jc w:val="left"/>
                    <w:jc w:val="center"/>
                  </w:pPr>
                  <w:r>
                    <w:t xml:space="preserve">Median IP (Ta &lt; -5°C) ≥ Median IP (Ta ≥ -5°C)</w:t>
                  </w:r>
                </w:p>
              </w:tc>
              <w:tc>
                <w:tcPr/>
                <w:p>
                  <w:pPr>
                    <w:pStyle w:val="Compact"/>
                    <w:jc w:val="left"/>
                    <w:jc w:val="center"/>
                  </w:pPr>
                  <w:r>
                    <w:t xml:space="preserve">0.282</w:t>
                  </w:r>
                </w:p>
              </w:tc>
              <w:tc>
                <w:tcPr/>
                <w:p>
                  <w:pPr>
                    <w:pStyle w:val="Compact"/>
                    <w:jc w:val="left"/>
                    <w:jc w:val="center"/>
                  </w:pPr>
                  <w:r>
                    <w:t xml:space="preserve">76 / 115</w:t>
                  </w:r>
                </w:p>
              </w:tc>
              <w:tc>
                <w:tcPr/>
                <w:p>
                  <w:pPr>
                    <w:pStyle w:val="Compact"/>
                    <w:jc w:val="left"/>
                    <w:jc w:val="center"/>
                  </w:pPr>
                  <w:r>
                    <w:t xml:space="preserve">0.56 / 0.62</w:t>
                  </w:r>
                </w:p>
              </w:tc>
              <w:tc>
                <w:tcPr/>
                <w:p>
                  <w:pPr>
                    <w:pStyle w:val="Compact"/>
                    <w:jc w:val="left"/>
                    <w:jc w:val="center"/>
                  </w:pPr>
                  <w:r>
                    <w:t xml:space="preserve">no</w:t>
                  </w:r>
                </w:p>
              </w:tc>
            </w:tr>
            <w:tr>
              <w:tc>
                <w:tcPr/>
                <w:p>
                  <w:pPr>
                    <w:pStyle w:val="Compact"/>
                    <w:jc w:val="left"/>
                    <w:jc w:val="center"/>
                  </w:pPr>
                  <w:r>
                    <w:t xml:space="preserve">mixed</w:t>
                  </w:r>
                </w:p>
              </w:tc>
              <w:tc>
                <w:tcPr/>
                <w:p>
                  <w:pPr>
                    <w:pStyle w:val="Compact"/>
                    <w:jc w:val="left"/>
                    <w:jc w:val="center"/>
                  </w:pPr>
                  <w:r>
                    <w:t xml:space="preserve">Median IP (Ta &lt; -5°C) ≥ Median IP (Ta ≥ -5°C)</w:t>
                  </w:r>
                </w:p>
              </w:tc>
              <w:tc>
                <w:tcPr/>
                <w:p>
                  <w:pPr>
                    <w:pStyle w:val="Compact"/>
                    <w:jc w:val="left"/>
                    <w:jc w:val="center"/>
                  </w:pPr>
                  <w:r>
                    <w:t xml:space="preserve">0.990</w:t>
                  </w:r>
                </w:p>
              </w:tc>
              <w:tc>
                <w:tcPr/>
                <w:p>
                  <w:pPr>
                    <w:pStyle w:val="Compact"/>
                    <w:jc w:val="left"/>
                    <w:jc w:val="center"/>
                  </w:pPr>
                  <w:r>
                    <w:t xml:space="preserve">165 / 133</w:t>
                  </w:r>
                </w:p>
              </w:tc>
              <w:tc>
                <w:tcPr/>
                <w:p>
                  <w:pPr>
                    <w:pStyle w:val="Compact"/>
                    <w:jc w:val="left"/>
                    <w:jc w:val="center"/>
                  </w:pPr>
                  <w:r>
                    <w:t xml:space="preserve">0.57 / 0.53</w:t>
                  </w:r>
                </w:p>
              </w:tc>
              <w:tc>
                <w:tcPr/>
                <w:p>
                  <w:pPr>
                    <w:pStyle w:val="Compact"/>
                    <w:jc w:val="left"/>
                    <w:jc w:val="center"/>
                  </w:pPr>
                  <w:r>
                    <w:t xml:space="preserve">no</w:t>
                  </w:r>
                </w:p>
              </w:tc>
            </w:tr>
            <w:tr>
              <w:tc>
                <w:tcPr/>
                <w:p>
                  <w:pPr>
                    <w:pStyle w:val="Compact"/>
                    <w:jc w:val="left"/>
                    <w:jc w:val="center"/>
                  </w:pPr>
                  <w:r>
                    <w:t xml:space="preserve">sparse</w:t>
                  </w:r>
                </w:p>
              </w:tc>
              <w:tc>
                <w:tcPr/>
                <w:p>
                  <w:pPr>
                    <w:pStyle w:val="Compact"/>
                    <w:jc w:val="left"/>
                    <w:jc w:val="center"/>
                  </w:pPr>
                  <w:r>
                    <w:t xml:space="preserve">Median IP (Ta &lt; -5°C) ≥ Median IP (Ta ≥ -5°C)</w:t>
                  </w:r>
                </w:p>
              </w:tc>
              <w:tc>
                <w:tcPr/>
                <w:p>
                  <w:pPr>
                    <w:pStyle w:val="Compact"/>
                    <w:jc w:val="left"/>
                    <w:jc w:val="center"/>
                  </w:pPr>
                  <w:r>
                    <w:t xml:space="preserve">0.864</w:t>
                  </w:r>
                </w:p>
              </w:tc>
              <w:tc>
                <w:tcPr/>
                <w:p>
                  <w:pPr>
                    <w:pStyle w:val="Compact"/>
                    <w:jc w:val="left"/>
                    <w:jc w:val="center"/>
                  </w:pPr>
                  <w:r>
                    <w:t xml:space="preserve">72 / 118</w:t>
                  </w:r>
                </w:p>
              </w:tc>
              <w:tc>
                <w:tcPr/>
                <w:p>
                  <w:pPr>
                    <w:pStyle w:val="Compact"/>
                    <w:jc w:val="left"/>
                    <w:jc w:val="center"/>
                  </w:pPr>
                  <w:r>
                    <w:t xml:space="preserve">0.54 / 0.5</w:t>
                  </w:r>
                </w:p>
              </w:tc>
              <w:tc>
                <w:tcPr/>
                <w:p>
                  <w:pPr>
                    <w:pStyle w:val="Compact"/>
                    <w:jc w:val="left"/>
                    <w:jc w:val="center"/>
                  </w:pPr>
                  <w:r>
                    <w:t xml:space="preserve">no</w:t>
                  </w:r>
                </w:p>
              </w:tc>
            </w:tr>
            <w:tr>
              <w:tc>
                <w:tcPr/>
                <w:p>
                  <w:pPr>
                    <w:pStyle w:val="Compact"/>
                    <w:jc w:val="left"/>
                    <w:jc w:val="center"/>
                  </w:pPr>
                  <w:r>
                    <w:t xml:space="preserve">closed</w:t>
                  </w:r>
                </w:p>
              </w:tc>
              <w:tc>
                <w:tcPr/>
                <w:p>
                  <w:pPr>
                    <w:pStyle w:val="Compact"/>
                    <w:jc w:val="left"/>
                    <w:jc w:val="center"/>
                  </w:pPr>
                  <w:r>
                    <w:t xml:space="preserve">Median IP (u &lt; 1 m/s) ≥ Median IP (u ≥ 1 m/s)</w:t>
                  </w:r>
                </w:p>
              </w:tc>
              <w:tc>
                <w:tcPr/>
                <w:p>
                  <w:pPr>
                    <w:pStyle w:val="Compact"/>
                    <w:jc w:val="left"/>
                    <w:jc w:val="center"/>
                  </w:pPr>
                  <w:r>
                    <w:t xml:space="preserve">0.004</w:t>
                  </w:r>
                </w:p>
              </w:tc>
              <w:tc>
                <w:tcPr/>
                <w:p>
                  <w:pPr>
                    <w:pStyle w:val="Compact"/>
                    <w:jc w:val="left"/>
                    <w:jc w:val="center"/>
                  </w:pPr>
                  <w:r>
                    <w:t xml:space="preserve">116 / 75</w:t>
                  </w:r>
                </w:p>
              </w:tc>
              <w:tc>
                <w:tcPr/>
                <w:p>
                  <w:pPr>
                    <w:pStyle w:val="Compact"/>
                    <w:jc w:val="left"/>
                    <w:jc w:val="center"/>
                  </w:pPr>
                  <w:r>
                    <w:t xml:space="preserve">0.53 / 0.65</w:t>
                  </w:r>
                </w:p>
              </w:tc>
              <w:tc>
                <w:tcPr/>
                <w:p>
                  <w:pPr>
                    <w:pStyle w:val="Compact"/>
                    <w:jc w:val="left"/>
                    <w:jc w:val="center"/>
                  </w:pPr>
                  <w:r>
                    <w:t xml:space="preserve">yes</w:t>
                  </w:r>
                </w:p>
              </w:tc>
            </w:tr>
            <w:tr>
              <w:tc>
                <w:tcPr/>
                <w:p>
                  <w:pPr>
                    <w:pStyle w:val="Compact"/>
                    <w:jc w:val="left"/>
                    <w:jc w:val="center"/>
                  </w:pPr>
                  <w:r>
                    <w:t xml:space="preserve">mixed</w:t>
                  </w:r>
                </w:p>
              </w:tc>
              <w:tc>
                <w:tcPr/>
                <w:p>
                  <w:pPr>
                    <w:pStyle w:val="Compact"/>
                    <w:jc w:val="left"/>
                    <w:jc w:val="center"/>
                  </w:pPr>
                  <w:r>
                    <w:t xml:space="preserve">Median IP (u &lt; 1 m/s) ≥ Median IP (u ≥ 1 m/s)</w:t>
                  </w:r>
                </w:p>
              </w:tc>
              <w:tc>
                <w:tcPr/>
                <w:p>
                  <w:pPr>
                    <w:pStyle w:val="Compact"/>
                    <w:jc w:val="left"/>
                    <w:jc w:val="center"/>
                  </w:pPr>
                  <w:r>
                    <w:t xml:space="preserve">1.000</w:t>
                  </w:r>
                </w:p>
              </w:tc>
              <w:tc>
                <w:tcPr/>
                <w:p>
                  <w:pPr>
                    <w:pStyle w:val="Compact"/>
                    <w:jc w:val="left"/>
                    <w:jc w:val="center"/>
                  </w:pPr>
                  <w:r>
                    <w:t xml:space="preserve">165 / 133</w:t>
                  </w:r>
                </w:p>
              </w:tc>
              <w:tc>
                <w:tcPr/>
                <w:p>
                  <w:pPr>
                    <w:pStyle w:val="Compact"/>
                    <w:jc w:val="left"/>
                    <w:jc w:val="center"/>
                  </w:pPr>
                  <w:r>
                    <w:t xml:space="preserve">0.6 / 0.5</w:t>
                  </w:r>
                </w:p>
              </w:tc>
              <w:tc>
                <w:tcPr/>
                <w:p>
                  <w:pPr>
                    <w:pStyle w:val="Compact"/>
                    <w:jc w:val="left"/>
                    <w:jc w:val="center"/>
                  </w:pPr>
                  <w:r>
                    <w:t xml:space="preserve">no</w:t>
                  </w:r>
                </w:p>
              </w:tc>
            </w:tr>
            <w:tr>
              <w:tc>
                <w:tcPr/>
                <w:p>
                  <w:pPr>
                    <w:pStyle w:val="Compact"/>
                    <w:jc w:val="left"/>
                    <w:jc w:val="center"/>
                  </w:pPr>
                  <w:r>
                    <w:t xml:space="preserve">sparse</w:t>
                  </w:r>
                </w:p>
              </w:tc>
              <w:tc>
                <w:tcPr/>
                <w:p>
                  <w:pPr>
                    <w:pStyle w:val="Compact"/>
                    <w:jc w:val="left"/>
                    <w:jc w:val="center"/>
                  </w:pPr>
                  <w:r>
                    <w:t xml:space="preserve">Median IP (u &lt; 1 m/s) ≥ Median IP (u ≥ 1 m/s)</w:t>
                  </w:r>
                </w:p>
              </w:tc>
              <w:tc>
                <w:tcPr/>
                <w:p>
                  <w:pPr>
                    <w:pStyle w:val="Compact"/>
                    <w:jc w:val="left"/>
                    <w:jc w:val="center"/>
                  </w:pPr>
                  <w:r>
                    <w:t xml:space="preserve">&lt; 0.001</w:t>
                  </w:r>
                </w:p>
              </w:tc>
              <w:tc>
                <w:tcPr/>
                <w:p>
                  <w:pPr>
                    <w:pStyle w:val="Compact"/>
                    <w:jc w:val="left"/>
                    <w:jc w:val="center"/>
                  </w:pPr>
                  <w:r>
                    <w:t xml:space="preserve">110 / 80</w:t>
                  </w:r>
                </w:p>
              </w:tc>
              <w:tc>
                <w:tcPr/>
                <w:p>
                  <w:pPr>
                    <w:pStyle w:val="Compact"/>
                    <w:jc w:val="left"/>
                    <w:jc w:val="center"/>
                  </w:pPr>
                  <w:r>
                    <w:t xml:space="preserve">0.43 / 0.59</w:t>
                  </w:r>
                </w:p>
              </w:tc>
              <w:tc>
                <w:tcPr/>
                <w:p>
                  <w:pPr>
                    <w:pStyle w:val="Compact"/>
                    <w:jc w:val="left"/>
                    <w:jc w:val="center"/>
                  </w:pPr>
                  <w:r>
                    <w:t xml:space="preserve">yes</w:t>
                  </w:r>
                </w:p>
              </w:tc>
            </w:tr>
            <w:tr>
              <w:tc>
                <w:tcPr/>
                <w:p>
                  <w:pPr>
                    <w:pStyle w:val="Compact"/>
                    <w:jc w:val="left"/>
                    <w:jc w:val="center"/>
                  </w:pPr>
                  <w:r>
                    <w:t xml:space="preserve">closed</w:t>
                  </w:r>
                </w:p>
              </w:tc>
              <w:tc>
                <w:tcPr/>
                <w:p>
                  <w:pPr>
                    <w:pStyle w:val="Compact"/>
                    <w:jc w:val="left"/>
                    <w:jc w:val="center"/>
                  </w:pPr>
                  <w:r>
                    <w:t xml:space="preserve">Median IP (L &lt; 10 mm) ≤ Median IP (L ≥ 10 mm)</w:t>
                  </w:r>
                </w:p>
              </w:tc>
              <w:tc>
                <w:tcPr/>
                <w:p>
                  <w:pPr>
                    <w:pStyle w:val="Compact"/>
                    <w:jc w:val="left"/>
                    <w:jc w:val="center"/>
                  </w:pPr>
                  <w:r>
                    <w:t xml:space="preserve">0.048</w:t>
                  </w:r>
                </w:p>
              </w:tc>
              <w:tc>
                <w:tcPr/>
                <w:p>
                  <w:pPr>
                    <w:pStyle w:val="Compact"/>
                    <w:jc w:val="left"/>
                    <w:jc w:val="center"/>
                  </w:pPr>
                  <w:r>
                    <w:t xml:space="preserve">129 / 59</w:t>
                  </w:r>
                </w:p>
              </w:tc>
              <w:tc>
                <w:tcPr/>
                <w:p>
                  <w:pPr>
                    <w:pStyle w:val="Compact"/>
                    <w:jc w:val="left"/>
                    <w:jc w:val="center"/>
                  </w:pPr>
                  <w:r>
                    <w:t xml:space="preserve">0.62 / 0.57</w:t>
                  </w:r>
                </w:p>
              </w:tc>
              <w:tc>
                <w:tcPr/>
                <w:p>
                  <w:pPr>
                    <w:pStyle w:val="Compact"/>
                    <w:jc w:val="left"/>
                    <w:jc w:val="center"/>
                  </w:pPr>
                  <w:r>
                    <w:t xml:space="preserve">yes</w:t>
                  </w:r>
                </w:p>
              </w:tc>
            </w:tr>
            <w:tr>
              <w:tc>
                <w:tcPr/>
                <w:p>
                  <w:pPr>
                    <w:pStyle w:val="Compact"/>
                    <w:jc w:val="left"/>
                    <w:jc w:val="center"/>
                  </w:pPr>
                  <w:r>
                    <w:t xml:space="preserve">mixed</w:t>
                  </w:r>
                </w:p>
              </w:tc>
              <w:tc>
                <w:tcPr/>
                <w:p>
                  <w:pPr>
                    <w:pStyle w:val="Compact"/>
                    <w:jc w:val="left"/>
                    <w:jc w:val="center"/>
                  </w:pPr>
                  <w:r>
                    <w:t xml:space="preserve">Median IP (L &lt; 10 mm) ≤ Median IP (L ≥ 10 mm)</w:t>
                  </w:r>
                </w:p>
              </w:tc>
              <w:tc>
                <w:tcPr/>
                <w:p>
                  <w:pPr>
                    <w:pStyle w:val="Compact"/>
                    <w:jc w:val="left"/>
                    <w:jc w:val="center"/>
                  </w:pPr>
                  <w:r>
                    <w:t xml:space="preserve">&lt; 0.001</w:t>
                  </w:r>
                </w:p>
              </w:tc>
              <w:tc>
                <w:tcPr/>
                <w:p>
                  <w:pPr>
                    <w:pStyle w:val="Compact"/>
                    <w:jc w:val="left"/>
                    <w:jc w:val="center"/>
                  </w:pPr>
                  <w:r>
                    <w:t xml:space="preserve">218 / 76</w:t>
                  </w:r>
                </w:p>
              </w:tc>
              <w:tc>
                <w:tcPr/>
                <w:p>
                  <w:pPr>
                    <w:pStyle w:val="Compact"/>
                    <w:jc w:val="left"/>
                    <w:jc w:val="center"/>
                  </w:pPr>
                  <w:r>
                    <w:t xml:space="preserve">0.57 / 0.49</w:t>
                  </w:r>
                </w:p>
              </w:tc>
              <w:tc>
                <w:tcPr/>
                <w:p>
                  <w:pPr>
                    <w:pStyle w:val="Compact"/>
                    <w:jc w:val="left"/>
                    <w:jc w:val="center"/>
                  </w:pPr>
                  <w:r>
                    <w:t xml:space="preserve">yes</w:t>
                  </w:r>
                </w:p>
              </w:tc>
            </w:tr>
            <w:tr>
              <w:tc>
                <w:tcPr/>
                <w:p>
                  <w:pPr>
                    <w:pStyle w:val="Compact"/>
                    <w:jc w:val="left"/>
                    <w:jc w:val="center"/>
                  </w:pPr>
                  <w:r>
                    <w:t xml:space="preserve">sparse</w:t>
                  </w:r>
                </w:p>
              </w:tc>
              <w:tc>
                <w:tcPr/>
                <w:p>
                  <w:pPr>
                    <w:pStyle w:val="Compact"/>
                    <w:jc w:val="left"/>
                    <w:jc w:val="center"/>
                  </w:pPr>
                  <w:r>
                    <w:t xml:space="preserve">Median IP (L &lt; 10 mm) ≤ Median IP (L ≥ 10 mm)</w:t>
                  </w:r>
                </w:p>
              </w:tc>
              <w:tc>
                <w:tcPr/>
                <w:p>
                  <w:pPr>
                    <w:pStyle w:val="Compact"/>
                    <w:jc w:val="left"/>
                    <w:jc w:val="center"/>
                  </w:pPr>
                  <w:r>
                    <w:t xml:space="preserve">&lt; 0.001</w:t>
                  </w:r>
                </w:p>
              </w:tc>
              <w:tc>
                <w:tcPr/>
                <w:p>
                  <w:pPr>
                    <w:pStyle w:val="Compact"/>
                    <w:jc w:val="left"/>
                    <w:jc w:val="center"/>
                  </w:pPr>
                  <w:r>
                    <w:t xml:space="preserve">157 / 30</w:t>
                  </w:r>
                </w:p>
              </w:tc>
              <w:tc>
                <w:tcPr/>
                <w:p>
                  <w:pPr>
                    <w:pStyle w:val="Compact"/>
                    <w:jc w:val="left"/>
                    <w:jc w:val="center"/>
                  </w:pPr>
                  <w:r>
                    <w:t xml:space="preserve">0.53 / 0.34</w:t>
                  </w:r>
                </w:p>
              </w:tc>
              <w:tc>
                <w:tcPr/>
                <w:p>
                  <w:pPr>
                    <w:pStyle w:val="Compact"/>
                    <w:jc w:val="left"/>
                    <w:jc w:val="center"/>
                  </w:pPr>
                  <w:r>
                    <w:t xml:space="preserve">yes</w:t>
                  </w:r>
                </w:p>
              </w:tc>
            </w:tr>
            <w:tr>
              <w:tc>
                <w:tcPr/>
                <w:p>
                  <w:pPr>
                    <w:pStyle w:val="Compact"/>
                    <w:jc w:val="left"/>
                    <w:jc w:val="center"/>
                  </w:pPr>
                  <w:r>
                    <w:t xml:space="preserve">closed</w:t>
                  </w:r>
                </w:p>
              </w:tc>
              <w:tc>
                <w:tcPr/>
                <w:p>
                  <w:pPr>
                    <w:pStyle w:val="Compact"/>
                    <w:jc w:val="left"/>
                    <w:jc w:val="center"/>
                  </w:pPr>
                  <w:r>
                    <w:t xml:space="preserve">Median IP (L &lt; 5 mm) ≥ Median IP (5 mm ≤ L &lt; 10 mm)</w:t>
                  </w:r>
                </w:p>
              </w:tc>
              <w:tc>
                <w:tcPr/>
                <w:p>
                  <w:pPr>
                    <w:pStyle w:val="Compact"/>
                    <w:jc w:val="left"/>
                    <w:jc w:val="center"/>
                  </w:pPr>
                  <w:r>
                    <w:t xml:space="preserve">0.333</w:t>
                  </w:r>
                </w:p>
              </w:tc>
              <w:tc>
                <w:tcPr/>
                <w:p>
                  <w:pPr>
                    <w:pStyle w:val="Compact"/>
                    <w:jc w:val="left"/>
                    <w:jc w:val="center"/>
                  </w:pPr>
                  <w:r>
                    <w:t xml:space="preserve">62 / 67</w:t>
                  </w:r>
                </w:p>
              </w:tc>
              <w:tc>
                <w:tcPr/>
                <w:p>
                  <w:pPr>
                    <w:pStyle w:val="Compact"/>
                    <w:jc w:val="left"/>
                    <w:jc w:val="center"/>
                  </w:pPr>
                  <w:r>
                    <w:t xml:space="preserve">0.62 / 0.62</w:t>
                  </w:r>
                </w:p>
              </w:tc>
              <w:tc>
                <w:tcPr/>
                <w:p>
                  <w:pPr>
                    <w:pStyle w:val="Compact"/>
                    <w:jc w:val="left"/>
                    <w:jc w:val="center"/>
                  </w:pPr>
                  <w:r>
                    <w:t xml:space="preserve">no</w:t>
                  </w:r>
                </w:p>
              </w:tc>
            </w:tr>
            <w:tr>
              <w:tc>
                <w:tcPr/>
                <w:p>
                  <w:pPr>
                    <w:pStyle w:val="Compact"/>
                    <w:jc w:val="left"/>
                    <w:jc w:val="center"/>
                  </w:pPr>
                  <w:r>
                    <w:t xml:space="preserve">mixed</w:t>
                  </w:r>
                </w:p>
              </w:tc>
              <w:tc>
                <w:tcPr/>
                <w:p>
                  <w:pPr>
                    <w:pStyle w:val="Compact"/>
                    <w:jc w:val="left"/>
                    <w:jc w:val="center"/>
                  </w:pPr>
                  <w:r>
                    <w:t xml:space="preserve">Median IP (L &lt; 5 mm) ≥ Median IP (5 mm ≤ L &lt; 10 mm)</w:t>
                  </w:r>
                </w:p>
              </w:tc>
              <w:tc>
                <w:tcPr/>
                <w:p>
                  <w:pPr>
                    <w:pStyle w:val="Compact"/>
                    <w:jc w:val="left"/>
                    <w:jc w:val="center"/>
                  </w:pPr>
                  <w:r>
                    <w:t xml:space="preserve">0.019</w:t>
                  </w:r>
                </w:p>
              </w:tc>
              <w:tc>
                <w:tcPr/>
                <w:p>
                  <w:pPr>
                    <w:pStyle w:val="Compact"/>
                    <w:jc w:val="left"/>
                    <w:jc w:val="center"/>
                  </w:pPr>
                  <w:r>
                    <w:t xml:space="preserve">117 / 101</w:t>
                  </w:r>
                </w:p>
              </w:tc>
              <w:tc>
                <w:tcPr/>
                <w:p>
                  <w:pPr>
                    <w:pStyle w:val="Compact"/>
                    <w:jc w:val="left"/>
                    <w:jc w:val="center"/>
                  </w:pPr>
                  <w:r>
                    <w:t xml:space="preserve">0.57 / 0.61</w:t>
                  </w:r>
                </w:p>
              </w:tc>
              <w:tc>
                <w:tcPr/>
                <w:p>
                  <w:pPr>
                    <w:pStyle w:val="Compact"/>
                    <w:jc w:val="left"/>
                    <w:jc w:val="center"/>
                  </w:pPr>
                  <w:r>
                    <w:t xml:space="preserve">yes</w:t>
                  </w:r>
                </w:p>
              </w:tc>
            </w:tr>
            <w:tr>
              <w:tc>
                <w:tcPr/>
                <w:p>
                  <w:pPr>
                    <w:pStyle w:val="Compact"/>
                    <w:jc w:val="left"/>
                    <w:jc w:val="center"/>
                  </w:pPr>
                  <w:r>
                    <w:t xml:space="preserve">sparse</w:t>
                  </w:r>
                </w:p>
              </w:tc>
              <w:tc>
                <w:tcPr/>
                <w:p>
                  <w:pPr>
                    <w:pStyle w:val="Compact"/>
                    <w:jc w:val="left"/>
                    <w:jc w:val="center"/>
                  </w:pPr>
                  <w:r>
                    <w:t xml:space="preserve">Median IP (L &lt; 5 mm) ≥ Median IP (5 mm ≤ L &lt; 10 mm)</w:t>
                  </w:r>
                </w:p>
              </w:tc>
              <w:tc>
                <w:tcPr/>
                <w:p>
                  <w:pPr>
                    <w:pStyle w:val="Compact"/>
                    <w:jc w:val="left"/>
                    <w:jc w:val="center"/>
                  </w:pPr>
                  <w:r>
                    <w:t xml:space="preserve">0.043</w:t>
                  </w:r>
                </w:p>
              </w:tc>
              <w:tc>
                <w:tcPr/>
                <w:p>
                  <w:pPr>
                    <w:pStyle w:val="Compact"/>
                    <w:jc w:val="left"/>
                    <w:jc w:val="center"/>
                  </w:pPr>
                  <w:r>
                    <w:t xml:space="preserve">90 / 67</w:t>
                  </w:r>
                </w:p>
              </w:tc>
              <w:tc>
                <w:tcPr/>
                <w:p>
                  <w:pPr>
                    <w:pStyle w:val="Compact"/>
                    <w:jc w:val="left"/>
                    <w:jc w:val="center"/>
                  </w:pPr>
                  <w:r>
                    <w:t xml:space="preserve">0.49 / 0.6</w:t>
                  </w:r>
                </w:p>
              </w:tc>
              <w:tc>
                <w:tcPr/>
                <w:p>
                  <w:pPr>
                    <w:pStyle w:val="Compact"/>
                    <w:jc w:val="left"/>
                    <w:jc w:val="center"/>
                  </w:pPr>
                  <w:r>
                    <w:t xml:space="preserve">yes</w:t>
                  </w:r>
                </w:p>
              </w:tc>
            </w:tr>
          </w:tbl>
          <w:bookmarkEnd w:id="65"/>
          <w:p/>
        </w:tc>
      </w:tr>
    </w:tbl>
    <w:bookmarkEnd w:id="66"/>
    <w:bookmarkStart w:id="85" w:name="Xf88e7f459f8c3a44a6cb1905ebf75d9611be3f7"/>
    <w:p>
      <w:pPr>
        <w:pStyle w:val="Heading2"/>
      </w:pPr>
      <w:r>
        <w:t xml:space="preserve">4.2 The influence of canopy density on snow interception</w:t>
      </w:r>
    </w:p>
    <w:p>
      <w:pPr>
        <w:pStyle w:val="FirstParagraph"/>
      </w:pPr>
      <w:r>
        <w:t xml:space="preserve">UAV-lidar measurements of throughfall and canopy density provide insights on how the forest canopy influenced subcanopy snow accumulation during a wind-driven snowfall event between March 13–14</w:t>
      </w:r>
      <w:r>
        <w:rPr>
          <w:vertAlign w:val="superscript"/>
        </w:rPr>
        <w:t xml:space="preserve">th</w:t>
      </w:r>
      <w:r>
        <w:t xml:space="preserve">. This event totaled 28.7 mm 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mean observed hydrometeor terminal velocity observed over the event was 0.9 m s</w:t>
      </w:r>
      <w:r>
        <w:rPr>
          <w:vertAlign w:val="superscript"/>
        </w:rPr>
        <w:t xml:space="preserve">-1</w:t>
      </w:r>
      <w:r>
        <w:t xml:space="preserve">.</w:t>
      </w:r>
    </w:p>
    <w:p>
      <w:pPr>
        <w:pStyle w:val="BodyText"/>
      </w:pPr>
      <w:r>
        <w:t xml:space="preserve">The throughfall depth measured by UAV-lidar aligned with the in-situ manual measurements resulting in a mean bias of -0.001 m and RMSE of 0.024 m. More details on the accuracy of UAV-lidar snow depth measurements are provided in the supporting information section.</w:t>
      </w:r>
      <w:r>
        <w:t xml:space="preserve"> </w:t>
      </w:r>
      <w:hyperlink w:anchor="fig-lidar-tf-ip">
        <w:r>
          <w:rPr>
            <w:rStyle w:val="Hyperlink"/>
          </w:rPr>
          <w:t xml:space="preserve">Figure 6</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Hyperlink"/>
          </w:rPr>
          <w:t xml:space="preserve">Figure 6</w:t>
        </w:r>
      </w:hyperlink>
      <w:r>
        <w:t xml:space="preserve"> </w:t>
      </w:r>
      <w:r>
        <w:t xml:space="preserve">represent grid cells that did not have any lidar ground returns (e.g., under dense canopy proximal to tree trunks) or were masked due to disturbance (e.g.,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Hyperlink"/>
          </w:rPr>
          <w:t xml:space="preserve">Figure 6</w:t>
        </w:r>
      </w:hyperlink>
      <w:r>
        <w:t xml:space="preserve"> </w:t>
      </w:r>
      <w:r>
        <w:t xml:space="preserve">to be more apparent in the PWL forest plot than the FT forest plot. This may be attributed to the taller trees and higher canopy cover of the PWL forest plot compared to the FT forest plot, as for the same trajectory angle a taller tree will produce a larger downwind footprint.</w:t>
      </w:r>
    </w:p>
    <w:tbl>
      <w:tblPr>
        <w:tblStyle w:val="Table"/>
        <w:tblW w:type="pct" w:w="5000"/>
        <w:tblLayout w:type="fixed"/>
        <w:tblLook w:firstRow="0" w:lastRow="0" w:firstColumn="0" w:lastColumn="0" w:noHBand="0" w:noVBand="0" w:val="0000"/>
      </w:tblPr>
      <w:tblGrid>
        <w:gridCol w:w="7920"/>
      </w:tblGrid>
      <w:tr>
        <w:tc>
          <w:tcPr/>
          <w:bookmarkStart w:id="70" w:name="fig-lidar-tf-ip"/>
          <w:p>
            <w:pPr>
              <w:pStyle w:val="Compact"/>
              <w:jc w:val="center"/>
            </w:pPr>
            <w:r>
              <w:drawing>
                <wp:inline>
                  <wp:extent cx="5943600" cy="6686549"/>
                  <wp:effectExtent b="0" l="0" r="0" t="0"/>
                  <wp:docPr descr="" title="" id="68" name="Picture"/>
                  <a:graphic>
                    <a:graphicData uri="http://schemas.openxmlformats.org/drawingml/2006/picture">
                      <pic:pic>
                        <pic:nvPicPr>
                          <pic:cNvPr descr="figs/external_figures/facet_ft_pwl_23_072_23_073_v2.0.0_saswe_and_ip_normalised_resample_0.25.png" id="69" name="Picture"/>
                          <pic:cNvPicPr>
                            <a:picLocks noChangeArrowheads="1" noChangeAspect="1"/>
                          </pic:cNvPicPr>
                        </pic:nvPicPr>
                        <pic:blipFill>
                          <a:blip r:embed="rId67"/>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UAV-lidar measurements of the change in snow water equivalent, SWE (mm) and interception efficiency, I/P (-), over the March 13–14</w:t>
            </w:r>
            <w:r>
              <w:rPr>
                <w:vertAlign w:val="superscript"/>
              </w:rPr>
              <w:t xml:space="preserve">th</w:t>
            </w:r>
            <w:r>
              <w:t xml:space="preserve"> </w:t>
            </w:r>
            <w:r>
              <w:t xml:space="preserve">24-hour snowfall event for the FT and PWL forest plots at a 0.25 m resolution. See the location of the two forest plots in</w:t>
            </w:r>
            <w:r>
              <w:t xml:space="preserve"> </w:t>
            </w:r>
            <w:hyperlink w:anchor="fig-site-map">
              <w:r>
                <w:rPr>
                  <w:rStyle w:val="Hyperlink"/>
                </w:rPr>
                <w:t xml:space="preserve">Figure 1</w:t>
              </w:r>
            </w:hyperlink>
            <w:r>
              <w:t xml:space="preserve">.</w:t>
            </w:r>
          </w:p>
          <w:bookmarkEnd w:id="70"/>
        </w:tc>
      </w:tr>
    </w:tbl>
    <w:p>
      <w:pPr>
        <w:pStyle w:val="BodyText"/>
      </w:pPr>
      <w:r>
        <w:t xml:space="preserve">The VoxRS measurements of</w:t>
      </w:r>
      <w:r>
        <w:t xml:space="preserve"> </w:t>
      </w:r>
      <m:oMath>
        <m:sSub>
          <m:e>
            <m:r>
              <m:t>C</m:t>
            </m:r>
          </m:e>
          <m:sub>
            <m:r>
              <m:t>p</m:t>
            </m:r>
          </m:sub>
        </m:sSub>
      </m:oMath>
      <w:r>
        <w:t xml:space="preserve"> </w:t>
      </w:r>
      <w:r>
        <w:t xml:space="preserve">on March 13</w:t>
      </w:r>
      <w:r>
        <w:rPr>
          <w:vertAlign w:val="superscript"/>
        </w:rPr>
        <w:t xml:space="preserve">th</w:t>
      </w:r>
      <w:r>
        <w:t xml:space="preserve"> </w:t>
      </w:r>
      <w:r>
        <w:t xml:space="preserve">were selected for analysis and represent the canopy of both forest plots without snow. Little difference in</w:t>
      </w:r>
      <w:r>
        <w:t xml:space="preserve"> </w:t>
      </w:r>
      <m:oMath>
        <m:sSub>
          <m:e>
            <m:r>
              <m:t>C</m:t>
            </m:r>
          </m:e>
          <m:sub>
            <m:r>
              <m:t>p</m:t>
            </m:r>
          </m:sub>
        </m:sSub>
      </m:oMath>
      <w:r>
        <w:t xml:space="preserve"> </w:t>
      </w:r>
      <w:r>
        <w:t xml:space="preserve">was observed between the March 13</w:t>
      </w:r>
      <w:r>
        <w:rPr>
          <w:vertAlign w:val="superscript"/>
        </w:rPr>
        <w:t xml:space="preserve">th</w:t>
      </w:r>
      <w:r>
        <w:t xml:space="preserve"> </w:t>
      </w:r>
      <w:r>
        <w:t xml:space="preserve">and March 14</w:t>
      </w:r>
      <w:r>
        <w:rPr>
          <w:vertAlign w:val="superscript"/>
        </w:rPr>
        <w:t xml:space="preserve">th</w:t>
      </w:r>
      <w:r>
        <w:t xml:space="preserve"> </w:t>
      </w:r>
      <w:r>
        <w:t xml:space="preserve">VoxRS measurements.</w:t>
      </w:r>
      <w:r>
        <w:t xml:space="preserve"> </w:t>
      </w:r>
      <w:hyperlink w:anchor="fig-hemi-ip-cc">
        <w:r>
          <w:rPr>
            <w:rStyle w:val="Hyperlink"/>
          </w:rPr>
          <w:t xml:space="preserve">Figure 7</w:t>
        </w:r>
      </w:hyperlink>
      <w:r>
        <w:t xml:space="preserve"> </w:t>
      </w:r>
      <w:r>
        <w:t xml:space="preserve">shows a strong linear correlation between</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w:t>
      </w:r>
      <w:r>
        <w:t xml:space="preserve"> </w:t>
      </w:r>
      <m:oMath>
        <m:sSub>
          <m:e>
            <m:r>
              <m:t>ρ</m:t>
            </m:r>
          </m:e>
          <m:sub>
            <m:r>
              <m:t>p</m:t>
            </m:r>
          </m:sub>
        </m:sSub>
      </m:oMath>
      <w:r>
        <w:t xml:space="preserve"> </w:t>
      </w:r>
      <w:r>
        <w:t xml:space="preserve">values shown in</w:t>
      </w:r>
      <w:r>
        <w:t xml:space="preserve"> </w:t>
      </w:r>
      <w:hyperlink w:anchor="fig-hemi-ip-cc">
        <w:r>
          <w:rPr>
            <w:rStyle w:val="Hyperlink"/>
          </w:rPr>
          <w:t xml:space="preserve">Figure 7</w:t>
        </w:r>
      </w:hyperlink>
      <w:r>
        <w:t xml:space="preserve">, were found between azimuth angles of 167°–217°. Similarly, for the FT forest plot, the upper 97.5</w:t>
      </w:r>
      <w:r>
        <w:rPr>
          <w:vertAlign w:val="superscript"/>
        </w:rPr>
        <w:t xml:space="preserve">th</w:t>
      </w:r>
      <w:r>
        <w:t xml:space="preserve"> </w:t>
      </w:r>
      <w:r>
        <w:t xml:space="preserve">percentile of the Pearson Correlation Coefficient (</w:t>
      </w:r>
      <m:oMath>
        <m:sSub>
          <m:e>
            <m:r>
              <m:t>ρ</m:t>
            </m:r>
          </m:e>
          <m:sub>
            <m:r>
              <m:t>p</m:t>
            </m:r>
          </m:sub>
        </m:sSub>
      </m:oMath>
      <w:r>
        <w:t xml:space="preserve">) 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74" w:name="fig-hemi-ip-cc"/>
          <w:p>
            <w:pPr>
              <w:pStyle w:val="Compact"/>
              <w:jc w:val="center"/>
            </w:pPr>
            <w:r>
              <w:drawing>
                <wp:inline>
                  <wp:extent cx="5943600" cy="2971800"/>
                  <wp:effectExtent b="0" l="0" r="0" t="0"/>
                  <wp:docPr descr="" title="" id="72" name="Picture"/>
                  <a:graphic>
                    <a:graphicData uri="http://schemas.openxmlformats.org/drawingml/2006/picture">
                      <pic:pic>
                        <pic:nvPicPr>
                          <pic:cNvPr descr="figs/external_figures/full_hemi_rho_p_cor_lca_ip_23_072_vox_len_0.25m_sa_gridgen_v2.0.0_sa_ft_pwl_.png" id="73"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Pearson Correlation Coefficient between rasters (0.25 m resolution) of interception efficiency and leaf contact area (measured on March 13th) for each grid cell across the study site for each azimuth angles (0°, 1°, …, 359°) and zenith angles (0°, 1°, …, 90°) for the FT (left) and PWL (right) forest plots.</w:t>
            </w:r>
          </w:p>
          <w:bookmarkEnd w:id="74"/>
        </w:tc>
      </w:tr>
    </w:tbl>
    <w:p>
      <w:pPr>
        <w:pStyle w:val="BodyText"/>
      </w:pPr>
      <w:r>
        <w:t xml:space="preserve">An estimate of</w:t>
      </w:r>
      <w:r>
        <w:t xml:space="preserve"> </w:t>
      </w:r>
      <m:oMath>
        <m:sSub>
          <m:e>
            <m:r>
              <m:t>C</m:t>
            </m:r>
          </m:e>
          <m:sub>
            <m:r>
              <m:t>p</m:t>
            </m:r>
          </m:sub>
        </m:sSub>
      </m:oMath>
      <w:r>
        <w:t xml:space="preserve"> </w:t>
      </w:r>
      <w:r>
        <w:t xml:space="preserve">that represented the event was selected from the VoxRS measurements based on the vector corresponding to the azimuth and zenith angles observed to have the highest</w:t>
      </w:r>
      <w:r>
        <w:t xml:space="preserve"> </w:t>
      </w:r>
      <m:oMath>
        <m:sSub>
          <m:e>
            <m:r>
              <m:t>ρ</m:t>
            </m:r>
          </m:e>
          <m:sub>
            <m:r>
              <m:t>p</m:t>
            </m:r>
          </m:sub>
        </m:sSub>
      </m:oMath>
      <w:r>
        <w:t xml:space="preserve"> </w:t>
      </w:r>
      <w:r>
        <w:t xml:space="preserve">in</w:t>
      </w:r>
      <w:r>
        <w:t xml:space="preserve"> </w:t>
      </w:r>
      <w:hyperlink w:anchor="fig-hemi-ip-cc">
        <w:r>
          <w:rPr>
            <w:rStyle w:val="Hyperlink"/>
          </w:rPr>
          <w:t xml:space="preserve">Figure 7</w:t>
        </w:r>
      </w:hyperlink>
      <w:r>
        <w:t xml:space="preserve">. The spatial distribution of the selected VoxRS</w:t>
      </w:r>
      <w:r>
        <w:t xml:space="preserve"> </w:t>
      </w:r>
      <m:oMath>
        <m:sSub>
          <m:e>
            <m:r>
              <m:t>C</m:t>
            </m:r>
          </m:e>
          <m:sub>
            <m:r>
              <m:t>p</m:t>
            </m:r>
          </m:sub>
        </m:sSub>
      </m:oMath>
      <w:r>
        <w:t xml:space="preserve"> </w:t>
      </w:r>
      <w:r>
        <w:t xml:space="preserve">measurements is shown in</w:t>
      </w:r>
      <w:r>
        <w:t xml:space="preserve"> </w:t>
      </w:r>
      <w:hyperlink w:anchor="fig-lidar-cc-cp">
        <w:r>
          <w:rPr>
            <w:rStyle w:val="Hyperlink"/>
          </w:rPr>
          <w:t xml:space="preserve">Figure 8</w:t>
        </w:r>
      </w:hyperlink>
      <w:r>
        <w:t xml:space="preserve"> </w:t>
      </w:r>
      <w:r>
        <w:t xml:space="preserve">and generally aligns with the spatial distribution of interception efficiency and throughfall shown in</w:t>
      </w:r>
      <w:r>
        <w:t xml:space="preserve"> </w:t>
      </w:r>
      <w:hyperlink w:anchor="fig-lidar-tf-ip">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8" w:name="fig-lidar-cc-cp"/>
          <w:p>
            <w:pPr>
              <w:pStyle w:val="Compact"/>
              <w:jc w:val="center"/>
            </w:pPr>
            <w:r>
              <w:drawing>
                <wp:inline>
                  <wp:extent cx="5943600" cy="4245428"/>
                  <wp:effectExtent b="0" l="0" r="0" t="0"/>
                  <wp:docPr descr="" title="" id="76" name="Picture"/>
                  <a:graphic>
                    <a:graphicData uri="http://schemas.openxmlformats.org/drawingml/2006/picture">
                      <pic:pic>
                        <pic:nvPicPr>
                          <pic:cNvPr descr="figs/external_figures/facet_ft_pwl_23_072_vox_len_0.25m_sa_gridgen_v2.0.0_sa__leaf_contact_area_event_traj_25cm.png" id="77" name="Picture"/>
                          <pic:cNvPicPr>
                            <a:picLocks noChangeArrowheads="1" noChangeAspect="1"/>
                          </pic:cNvPicPr>
                        </pic:nvPicPr>
                        <pic:blipFill>
                          <a:blip r:embed="rId75"/>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VoxRS measurements of leaf contact area measured on March 13</w:t>
            </w:r>
            <w:r>
              <w:rPr>
                <w:vertAlign w:val="superscript"/>
              </w:rPr>
              <w:t xml:space="preserve">th</w:t>
            </w:r>
            <w:r>
              <w:t xml:space="preserve"> </w:t>
            </w:r>
            <w:r>
              <w:t xml:space="preserve">for the PWL and FT forest plots for zenith angles (PWL = 22°, FT = 21°) and azimuth angles (PWL = 167°, 178°, … 217°; FT = 171°, 172°, … 223°).</w:t>
            </w:r>
          </w:p>
          <w:bookmarkEnd w:id="78"/>
        </w:tc>
      </w:tr>
    </w:tbl>
    <w:p>
      <w:pPr>
        <w:pStyle w:val="BodyText"/>
      </w:pPr>
      <w:hyperlink w:anchor="fig-lca-vs-ip">
        <w:r>
          <w:rPr>
            <w:rStyle w:val="Hyperlink"/>
          </w:rPr>
          <w:t xml:space="preserve">Figure 9</w:t>
        </w:r>
      </w:hyperlink>
      <w:r>
        <w:t xml:space="preserve"> </w:t>
      </w:r>
      <w:r>
        <w:t xml:space="preserve">shows the correlation between interception efficiency (</w:t>
      </w:r>
      <w:hyperlink w:anchor="fig-lidar-tf-ip">
        <w:r>
          <w:rPr>
            <w:rStyle w:val="Hyperlink"/>
          </w:rPr>
          <w:t xml:space="preserve">Figure 6</w:t>
        </w:r>
      </w:hyperlink>
      <w:r>
        <w:t xml:space="preserve">) and</w:t>
      </w:r>
      <w:r>
        <w:t xml:space="preserve"> </w:t>
      </w:r>
      <m:oMath>
        <m:sSub>
          <m:e>
            <m:r>
              <m:t>C</m:t>
            </m:r>
          </m:e>
          <m:sub>
            <m:r>
              <m:t>p</m:t>
            </m:r>
          </m:sub>
        </m:sSub>
      </m:oMath>
      <w:r>
        <w:t xml:space="preserve"> </w:t>
      </w:r>
      <w:r>
        <w:t xml:space="preserve">(</w:t>
      </w:r>
      <w:hyperlink w:anchor="fig-lidar-cc-cp">
        <w:r>
          <w:rPr>
            <w:rStyle w:val="Hyperlink"/>
          </w:rPr>
          <w:t xml:space="preserve">Figure 8</w:t>
        </w:r>
      </w:hyperlink>
      <w:r>
        <w:t xml:space="preserve">), resampled to a 5 m grid resolution, was higher compared to the association with leaf contact angle measured at a zenith angle of 0°. The stronger association for the vector-based calculation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BodyText"/>
      </w:pPr>
      <w:bookmarkStart w:id="79"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79"/>
    </w:p>
    <w:p>
      <w:pPr>
        <w:pStyle w:val="FirstParagraph"/>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(e.g.,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83" w:name="fig-lca-vs-ip"/>
          <w:p>
            <w:pPr>
              <w:pStyle w:val="Compact"/>
              <w:jc w:val="center"/>
            </w:pPr>
            <w:r>
              <w:drawing>
                <wp:inline>
                  <wp:extent cx="5943600" cy="2971800"/>
                  <wp:effectExtent b="0" l="0" r="0" t="0"/>
                  <wp:docPr descr="" title="" id="81" name="Picture"/>
                  <a:graphic>
                    <a:graphicData uri="http://schemas.openxmlformats.org/drawingml/2006/picture">
                      <pic:pic>
                        <pic:nvPicPr>
                          <pic:cNvPr descr="figs/external_figures/pwl_ft_lca_vs_ip_phi_nadir_adjusted_resample_w_mods_5m.png" id="82" name="Picture"/>
                          <pic:cNvPicPr>
                            <a:picLocks noChangeArrowheads="1" noChangeAspect="1"/>
                          </pic:cNvPicPr>
                        </pic:nvPicPr>
                        <pic:blipFill>
                          <a:blip r:embed="rId8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left of each panel calculated following the methods outlined in</w:t>
            </w:r>
            <w:r>
              <w:t xml:space="preserve"> </w:t>
            </w:r>
            <w:r>
              <w:t xml:space="preserve">Kozak &amp; Kozak (1995)</w:t>
            </w:r>
            <w:r>
              <w:t xml:space="preserve">.</w:t>
            </w:r>
          </w:p>
          <w:bookmarkEnd w:id="83"/>
        </w:tc>
      </w:tr>
    </w:tbl>
    <w:p>
      <w:pPr>
        <w:pStyle w:val="BodyText"/>
      </w:pPr>
      <w:r>
        <w:t xml:space="preserve">For the vector-based model, the relationship between interception efficiency and</w:t>
      </w:r>
      <w:r>
        <w:t xml:space="preserve"> </w:t>
      </w:r>
      <m:oMath>
        <m:sSub>
          <m:e>
            <m:r>
              <m:t>C</m:t>
            </m:r>
          </m:e>
          <m:sub>
            <m:r>
              <m:t>p</m:t>
            </m:r>
          </m:sub>
        </m:sSub>
      </m:oMath>
      <w:r>
        <w:t xml:space="preserve"> </w:t>
      </w:r>
      <w:r>
        <w:t xml:space="preserve">results in</w:t>
      </w:r>
      <w:r>
        <w:t xml:space="preserve"> </w:t>
      </w:r>
      <w:r>
        <w:rPr>
          <w:i/>
          <w:iCs/>
        </w:rPr>
        <w:t xml:space="preserve">R</w:t>
      </w:r>
      <w:r>
        <w:rPr>
          <w:vertAlign w:val="superscript"/>
        </w:rPr>
        <w:t xml:space="preserve">2</w:t>
      </w:r>
      <w:r>
        <w:t xml:space="preserve"> </w:t>
      </w:r>
      <w:r>
        <w:t xml:space="preserve">values of 0.45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0.72 and 0.69 for the PWL and FT vector-based models respectively. The reduced slope for the vector-based models may be due to snowflakes that weaved through and/or bounced off branch elements in addition to UAV-lidar throughfall measurement uncertainty which may have been slightly affected by unloading and redistribution. These processes would have reduced the fraction of snowfall that was stored in the canopy. Model error statistics are presented in</w:t>
      </w:r>
      <w:r>
        <w:t xml:space="preserve"> </w:t>
      </w:r>
      <w:hyperlink w:anchor="tbl-ip-mod-err">
        <w:r>
          <w:rPr>
            <w:rStyle w:val="Hyperlink"/>
          </w:rPr>
          <w:t xml:space="preserve">Table 4</w:t>
        </w:r>
      </w:hyperlink>
      <w:r>
        <w:t xml:space="preserve"> </w:t>
      </w:r>
      <w:r>
        <w:t xml:space="preserve">for the nadir and vector-based models and show the vector-based model provided a better prediction of interception efficiency. Some of the scatter observed in the nadir model shown in</w:t>
      </w:r>
      <w:r>
        <w:t xml:space="preserve"> </w:t>
      </w:r>
      <w:hyperlink w:anchor="fig-lca-vs-ip">
        <w:r>
          <w:rPr>
            <w:rStyle w:val="Hyperlink"/>
          </w:rPr>
          <w:t xml:space="preserve">Figure 9</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Hyperlink"/>
          </w:rPr>
          <w:t xml:space="preserve">Figure 6</w:t>
        </w:r>
      </w:hyperlink>
      <w:r>
        <w:t xml:space="preserve">. Conversely, grid cells where interception efficiency is less than</w:t>
      </w:r>
      <w:r>
        <w:t xml:space="preserve"> </w:t>
      </w:r>
      <m:oMath>
        <m:sSub>
          <m:e>
            <m:r>
              <m:t>C</m:t>
            </m:r>
          </m:e>
          <m:sub>
            <m:r>
              <m:t>c</m:t>
            </m:r>
          </m:sub>
        </m:sSub>
      </m:oMath>
      <w:r>
        <w:t xml:space="preserve">, may be affected by non-vertical trajectory hydrometeors making their way underneath the canopy as observed by the reduced interception efficiency on the windward edges of individual trees in</w:t>
      </w:r>
      <w:r>
        <w:t xml:space="preserve"> </w:t>
      </w:r>
      <w:hyperlink w:anchor="fig-lidar-tf-ip">
        <w:r>
          <w:rPr>
            <w:rStyle w:val="Hyperlink"/>
          </w:rPr>
          <w:t xml:space="preserve">Figure 6</w:t>
        </w:r>
      </w:hyperlink>
      <w:r>
        <w:t xml:space="preserve">. The latter may explain the non-linear relationship observed for the PWL nadir calculation in</w:t>
      </w:r>
      <w:r>
        <w:t xml:space="preserve"> </w:t>
      </w:r>
      <w:hyperlink w:anchor="fig-lidar-tf-ip">
        <w:r>
          <w:rPr>
            <w:rStyle w:val="Hyperlink"/>
          </w:rPr>
          <w:t xml:space="preserve">Figure 6</w:t>
        </w:r>
      </w:hyperlink>
      <w:r>
        <w:t xml:space="preserve">.</w:t>
      </w:r>
    </w:p>
    <w:p>
      <w:r>
        <w:br w:type="page"/>
      </w:r>
    </w:p>
    <w:tbl>
      <w:tblPr>
        <w:tblStyle w:val="Table"/>
        <w:tblW w:type="pct" w:w="5000"/>
        <w:tblLayout w:type="fixed"/>
        <w:tblLook w:firstRow="0" w:lastRow="0" w:firstColumn="0" w:lastColumn="0" w:noHBand="0" w:noVBand="0" w:val="0000"/>
      </w:tblPr>
      <w:tblGrid>
        <w:gridCol w:w="7920"/>
      </w:tblGrid>
      <w:tr>
        <w:tc>
          <w:tcPr/>
          <w:bookmarkStart w:id="84" w:name="tbl-ip-mod-err"/>
          <w:p>
            <w:pPr>
              <w:jc w:val="center"/>
            </w:pPr>
            <w:pPr>
              <w:jc w:val="start"/>
              <w:spacing w:before="200"/>
              <w:pStyle w:val="ImageCaption"/>
            </w:pPr>
            <w:r>
              <w:t xml:space="preserve">Table 4: Model error statistics provided for predictions of interception efficiency using</w:t>
            </w:r>
            <w:r>
              <w:t xml:space="preserve"> </w:t>
            </w:r>
            <w:hyperlink w:anchor="eq-lca-ip">
              <w:r>
                <w:rPr>
                  <w:rStyle w:val="Hyperlink"/>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910"/>
              <w:gridCol w:w="1729"/>
              <w:gridCol w:w="1456"/>
              <w:gridCol w:w="1274"/>
              <w:gridCol w:w="728"/>
              <w:gridCol w:w="1274"/>
              <w:gridCol w:w="546"/>
            </w:tblGrid>
            <w:tr>
              <w:trPr>
                <w:tblHeader w:val="on"/>
              </w:trPr>
              <w:tc>
                <w:tcPr/>
                <w:p>
                  <w:pPr>
                    <w:pStyle w:val="Compact"/>
                    <w:jc w:val="left"/>
                    <w:jc w:val="center"/>
                  </w:pPr>
                  <w:r>
                    <w:t xml:space="preserve">Plot Name</w:t>
                  </w:r>
                </w:p>
              </w:tc>
              <w:tc>
                <w:tcPr/>
                <w:p>
                  <w:pPr>
                    <w:pStyle w:val="Compact"/>
                    <w:jc w:val="left"/>
                    <w:jc w:val="center"/>
                  </w:pPr>
                  <w:r>
                    <w:t xml:space="preserve">Canopy Calculation</w:t>
                  </w:r>
                </w:p>
              </w:tc>
              <w:tc>
                <w:tcPr/>
                <w:p>
                  <w:pPr>
                    <w:pStyle w:val="Compact"/>
                    <w:jc w:val="right"/>
                    <w:jc w:val="center"/>
                  </w:pPr>
                  <w:r>
                    <w:t xml:space="preserve">Model Slope (-)</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FT</w:t>
                  </w:r>
                </w:p>
              </w:tc>
              <w:tc>
                <w:tcPr/>
                <w:p>
                  <w:pPr>
                    <w:pStyle w:val="Compact"/>
                    <w:jc w:val="left"/>
                    <w:jc w:val="center"/>
                  </w:pPr>
                  <w:r>
                    <w:t xml:space="preserve">Nadir</w:t>
                  </w:r>
                </w:p>
              </w:tc>
              <w:tc>
                <w:tcPr/>
                <w:p>
                  <w:pPr>
                    <w:pStyle w:val="Compact"/>
                    <w:jc w:val="right"/>
                    <w:jc w:val="center"/>
                  </w:pPr>
                  <w:r>
                    <w:t xml:space="preserve">1.01</w:t>
                  </w:r>
                </w:p>
              </w:tc>
              <w:tc>
                <w:tcPr/>
                <w:p>
                  <w:pPr>
                    <w:pStyle w:val="Compact"/>
                    <w:jc w:val="right"/>
                    <w:jc w:val="center"/>
                  </w:pPr>
                  <w:r>
                    <w:t xml:space="preserve">0.024</w:t>
                  </w:r>
                </w:p>
              </w:tc>
              <w:tc>
                <w:tcPr/>
                <w:p>
                  <w:pPr>
                    <w:pStyle w:val="Compact"/>
                    <w:jc w:val="right"/>
                    <w:jc w:val="center"/>
                  </w:pPr>
                  <w:r>
                    <w:t xml:space="preserve">0.072</w:t>
                  </w:r>
                </w:p>
              </w:tc>
              <w:tc>
                <w:tcPr/>
                <w:p>
                  <w:pPr>
                    <w:pStyle w:val="Compact"/>
                    <w:jc w:val="right"/>
                    <w:jc w:val="center"/>
                  </w:pPr>
                  <w:r>
                    <w:t xml:space="preserve">0.101</w:t>
                  </w:r>
                </w:p>
              </w:tc>
              <w:tc>
                <w:tcPr/>
                <w:p>
                  <w:pPr>
                    <w:pStyle w:val="Compact"/>
                    <w:jc w:val="right"/>
                    <w:jc w:val="center"/>
                  </w:pPr>
                  <w:r>
                    <w:t xml:space="preserve">0.49</w:t>
                  </w:r>
                </w:p>
              </w:tc>
            </w:tr>
            <w:tr>
              <w:tc>
                <w:tcPr/>
                <w:p>
                  <w:pPr>
                    <w:pStyle w:val="Compact"/>
                    <w:jc w:val="left"/>
                    <w:jc w:val="center"/>
                  </w:pPr>
                  <w:r>
                    <w:t xml:space="preserve">FT</w:t>
                  </w:r>
                </w:p>
              </w:tc>
              <w:tc>
                <w:tcPr/>
                <w:p>
                  <w:pPr>
                    <w:pStyle w:val="Compact"/>
                    <w:jc w:val="left"/>
                    <w:jc w:val="center"/>
                  </w:pPr>
                  <w:r>
                    <w:t xml:space="preserve">Vector Based</w:t>
                  </w:r>
                </w:p>
              </w:tc>
              <w:tc>
                <w:tcPr/>
                <w:p>
                  <w:pPr>
                    <w:pStyle w:val="Compact"/>
                    <w:jc w:val="right"/>
                    <w:jc w:val="center"/>
                  </w:pPr>
                  <w:r>
                    <w:t xml:space="preserve">0.69</w:t>
                  </w:r>
                </w:p>
              </w:tc>
              <w:tc>
                <w:tcPr/>
                <w:p>
                  <w:pPr>
                    <w:pStyle w:val="Compact"/>
                    <w:jc w:val="right"/>
                    <w:jc w:val="center"/>
                  </w:pPr>
                  <w:r>
                    <w:t xml:space="preserve">0.003</w:t>
                  </w:r>
                </w:p>
              </w:tc>
              <w:tc>
                <w:tcPr/>
                <w:p>
                  <w:pPr>
                    <w:pStyle w:val="Compact"/>
                    <w:jc w:val="right"/>
                    <w:jc w:val="center"/>
                  </w:pPr>
                  <w:r>
                    <w:t xml:space="preserve">0.047</w:t>
                  </w:r>
                </w:p>
              </w:tc>
              <w:tc>
                <w:tcPr/>
                <w:p>
                  <w:pPr>
                    <w:pStyle w:val="Compact"/>
                    <w:jc w:val="right"/>
                    <w:jc w:val="center"/>
                  </w:pPr>
                  <w:r>
                    <w:t xml:space="preserve">0.063</w:t>
                  </w:r>
                </w:p>
              </w:tc>
              <w:tc>
                <w:tcPr/>
                <w:p>
                  <w:pPr>
                    <w:pStyle w:val="Compact"/>
                    <w:jc w:val="right"/>
                    <w:jc w:val="center"/>
                  </w:pPr>
                  <w:r>
                    <w:t xml:space="preserve">0.80</w:t>
                  </w:r>
                </w:p>
              </w:tc>
            </w:tr>
            <w:tr>
              <w:tc>
                <w:tcPr/>
                <w:p>
                  <w:pPr>
                    <w:pStyle w:val="Compact"/>
                    <w:jc w:val="left"/>
                    <w:jc w:val="center"/>
                  </w:pPr>
                  <w:r>
                    <w:t xml:space="preserve">PWL</w:t>
                  </w:r>
                </w:p>
              </w:tc>
              <w:tc>
                <w:tcPr/>
                <w:p>
                  <w:pPr>
                    <w:pStyle w:val="Compact"/>
                    <w:jc w:val="left"/>
                    <w:jc w:val="center"/>
                  </w:pPr>
                  <w:r>
                    <w:t xml:space="preserve">Nadir</w:t>
                  </w:r>
                </w:p>
              </w:tc>
              <w:tc>
                <w:tcPr/>
                <w:p>
                  <w:pPr>
                    <w:pStyle w:val="Compact"/>
                    <w:jc w:val="right"/>
                    <w:jc w:val="center"/>
                  </w:pPr>
                  <w:r>
                    <w:t xml:space="preserve">0.96</w:t>
                  </w:r>
                </w:p>
              </w:tc>
              <w:tc>
                <w:tcPr/>
                <w:p>
                  <w:pPr>
                    <w:pStyle w:val="Compact"/>
                    <w:jc w:val="right"/>
                    <w:jc w:val="center"/>
                  </w:pPr>
                  <w:r>
                    <w:t xml:space="preserve">0.049</w:t>
                  </w:r>
                </w:p>
              </w:tc>
              <w:tc>
                <w:tcPr/>
                <w:p>
                  <w:pPr>
                    <w:pStyle w:val="Compact"/>
                    <w:jc w:val="right"/>
                    <w:jc w:val="center"/>
                  </w:pPr>
                  <w:r>
                    <w:t xml:space="preserve">0.115</w:t>
                  </w:r>
                </w:p>
              </w:tc>
              <w:tc>
                <w:tcPr/>
                <w:p>
                  <w:pPr>
                    <w:pStyle w:val="Compact"/>
                    <w:jc w:val="right"/>
                    <w:jc w:val="center"/>
                  </w:pPr>
                  <w:r>
                    <w:t xml:space="preserve">0.148</w:t>
                  </w:r>
                </w:p>
              </w:tc>
              <w:tc>
                <w:tcPr/>
                <w:p>
                  <w:pPr>
                    <w:pStyle w:val="Compact"/>
                    <w:jc w:val="right"/>
                    <w:jc w:val="center"/>
                  </w:pPr>
                  <w:r>
                    <w:t xml:space="preserve">NA</w:t>
                  </w:r>
                </w:p>
              </w:tc>
            </w:tr>
            <w:tr>
              <w:tc>
                <w:tcPr/>
                <w:p>
                  <w:pPr>
                    <w:pStyle w:val="Compact"/>
                    <w:jc w:val="left"/>
                    <w:jc w:val="center"/>
                  </w:pPr>
                  <w:r>
                    <w:t xml:space="preserve">PWL</w:t>
                  </w:r>
                </w:p>
              </w:tc>
              <w:tc>
                <w:tcPr/>
                <w:p>
                  <w:pPr>
                    <w:pStyle w:val="Compact"/>
                    <w:jc w:val="left"/>
                    <w:jc w:val="center"/>
                  </w:pPr>
                  <w:r>
                    <w:t xml:space="preserve">Vector Based</w:t>
                  </w:r>
                </w:p>
              </w:tc>
              <w:tc>
                <w:tcPr/>
                <w:p>
                  <w:pPr>
                    <w:pStyle w:val="Compact"/>
                    <w:jc w:val="right"/>
                    <w:jc w:val="center"/>
                  </w:pPr>
                  <w:r>
                    <w:t xml:space="preserve">0.72</w:t>
                  </w:r>
                </w:p>
              </w:tc>
              <w:tc>
                <w:tcPr/>
                <w:p>
                  <w:pPr>
                    <w:pStyle w:val="Compact"/>
                    <w:jc w:val="right"/>
                    <w:jc w:val="center"/>
                  </w:pPr>
                  <w:r>
                    <w:t xml:space="preserve">0.020</w:t>
                  </w:r>
                </w:p>
              </w:tc>
              <w:tc>
                <w:tcPr/>
                <w:p>
                  <w:pPr>
                    <w:pStyle w:val="Compact"/>
                    <w:jc w:val="right"/>
                    <w:jc w:val="center"/>
                  </w:pPr>
                  <w:r>
                    <w:t xml:space="preserve">0.079</w:t>
                  </w:r>
                </w:p>
              </w:tc>
              <w:tc>
                <w:tcPr/>
                <w:p>
                  <w:pPr>
                    <w:pStyle w:val="Compact"/>
                    <w:jc w:val="right"/>
                    <w:jc w:val="center"/>
                  </w:pPr>
                  <w:r>
                    <w:t xml:space="preserve">0.096</w:t>
                  </w:r>
                </w:p>
              </w:tc>
              <w:tc>
                <w:tcPr/>
                <w:p>
                  <w:pPr>
                    <w:pStyle w:val="Compact"/>
                    <w:jc w:val="right"/>
                    <w:jc w:val="center"/>
                  </w:pPr>
                  <w:r>
                    <w:t xml:space="preserve">0.45</w:t>
                  </w:r>
                </w:p>
              </w:tc>
            </w:tr>
          </w:tbl>
          <w:bookmarkEnd w:id="84"/>
          <w:p/>
        </w:tc>
      </w:tr>
    </w:tbl>
    <w:bookmarkEnd w:id="85"/>
    <w:bookmarkStart w:id="94" w:name="X0578cce116f75f5f95711c7fe7ccaca7b57ef4a"/>
    <w:p>
      <w:pPr>
        <w:pStyle w:val="Heading2"/>
      </w:pPr>
      <w:r>
        <w:t xml:space="preserve">4.3 The combined influence of trajectory angle and canopy density on snow interception</w:t>
      </w:r>
    </w:p>
    <w:p>
      <w:pPr>
        <w:pStyle w:val="FirstParagraph"/>
      </w:pPr>
      <w:hyperlink w:anchor="fig-lca-ht-ws">
        <w:r>
          <w:rPr>
            <w:rStyle w:val="Hyperlink"/>
          </w:rPr>
          <w:t xml:space="preserve">Figure 10</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Hyperlink"/>
          </w:rPr>
          <w:t xml:space="preserve">Figure 10</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Hyperlink"/>
          </w:rPr>
          <w:t xml:space="preserve">Figure 10</w:t>
        </w:r>
      </w:hyperlink>
      <w:r>
        <w:t xml:space="preserve">). This results in a large rise in</w:t>
      </w:r>
      <w:r>
        <w:t xml:space="preserve"> </w:t>
      </w:r>
      <m:oMath>
        <m:sSub>
          <m:e>
            <m:r>
              <m:t>C</m:t>
            </m:r>
          </m:e>
          <m:sub>
            <m:r>
              <m:t>p</m:t>
            </m:r>
          </m:sub>
        </m:sSub>
      </m:oMath>
      <w:r>
        <w:t xml:space="preserve"> </w:t>
      </w:r>
      <w:r>
        <w:t xml:space="preserve">over relatively common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Hyperlink"/>
          </w:rPr>
          <w:t xml:space="preserve">Figure 10</w:t>
        </w:r>
      </w:hyperlink>
      <w:r>
        <w:t xml:space="preserve">). This is a fractional increase in the plot</w:t>
      </w:r>
      <w:r>
        <w:t xml:space="preserve"> </w:t>
      </w:r>
      <m:oMath>
        <m:sSub>
          <m:e>
            <m:r>
              <m:t>C</m:t>
            </m:r>
          </m:e>
          <m:sub>
            <m:r>
              <m:t>p</m:t>
            </m:r>
          </m:sub>
        </m:sSub>
      </m:oMath>
      <w:r>
        <w:t xml:space="preserve"> </w:t>
      </w:r>
      <w:r>
        <w:t xml:space="preserve">from nadir of 0.61 and 0.95 for PWL and FT respectively.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Hyperlink"/>
          </w:rPr>
          <w:t xml:space="preserve">Figure 10</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1.0, while the FT plot, which has lower</w:t>
      </w:r>
      <w:r>
        <w:t xml:space="preserve"> </w:t>
      </w:r>
      <m:oMath>
        <m:sSub>
          <m:e>
            <m:r>
              <m:t>C</m:t>
            </m:r>
          </m:e>
          <m:sub>
            <m:r>
              <m:t>c</m:t>
            </m:r>
          </m:sub>
        </m:sSub>
      </m:oMath>
      <w:r>
        <w:t xml:space="preserv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89" w:name="fig-lca-ht-ws"/>
          <w:p>
            <w:pPr>
              <w:pStyle w:val="Compact"/>
              <w:jc w:val="center"/>
            </w:pPr>
            <w:r>
              <w:drawing>
                <wp:inline>
                  <wp:extent cx="5943600" cy="4457699"/>
                  <wp:effectExtent b="0" l="0" r="0" t="0"/>
                  <wp:docPr descr="" title="" id="87" name="Picture"/>
                  <a:graphic>
                    <a:graphicData uri="http://schemas.openxmlformats.org/drawingml/2006/picture">
                      <pic:pic>
                        <pic:nvPicPr>
                          <pic:cNvPr descr="figs/external_figures/WITH_TREEWELLS_traj_angle_and_wind_single_zenith_1_thetaby_1_traj_angle_wind_speed_vs_cowplot_lca_and_inc_w_mods_mean_sd_23_072.png" id="88" name="Picture"/>
                          <pic:cNvPicPr>
                            <a:picLocks noChangeArrowheads="1" noChangeAspect="1"/>
                          </pic:cNvPicPr>
                        </pic:nvPicPr>
                        <pic:blipFill>
                          <a:blip r:embed="rId86"/>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Plots showing the relationship between hydrometeor trajectory angle (left column) and wind speed (right column)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simulated hydrometeor trajectory angle is measured as degrees from zenith. Simulated wind speed was calculated as a function of hydrometeor trajectory angle by rearranging</w:t>
            </w:r>
            <w:r>
              <w:t xml:space="preserve"> </w:t>
            </w:r>
            <w:hyperlink w:anchor="eq-ta">
              <w:r>
                <w:rPr>
                  <w:rStyle w:val="Hyperlink"/>
                </w:rPr>
                <w:t xml:space="preserve">Equation 4</w:t>
              </w:r>
            </w:hyperlink>
            <w:r>
              <w:t xml:space="preserve"> </w:t>
            </w:r>
            <w:r>
              <w:t xml:space="preserve">and an observed event hydrometeor fall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Hyperlink"/>
                </w:rPr>
                <w:t xml:space="preserve">Equation 10</w:t>
              </w:r>
            </w:hyperlink>
            <w:r>
              <w:t xml:space="preserve"> </w:t>
            </w:r>
            <w:r>
              <w:t xml:space="preserve">(top row) and</w:t>
            </w:r>
            <w:r>
              <w:t xml:space="preserve"> </w:t>
            </w:r>
            <w:hyperlink w:anchor="eq-lca-inc">
              <w:r>
                <w:rPr>
                  <w:rStyle w:val="Hyperlink"/>
                </w:rPr>
                <w:t xml:space="preserve">Equation 11</w:t>
              </w:r>
            </w:hyperlink>
            <w:r>
              <w:t xml:space="preserve"> </w:t>
            </w:r>
            <w:r>
              <w:t xml:space="preserve">(bottom row). The dotted lines (HP98) represent the predictions from Equation 10 in</w:t>
            </w:r>
            <w:r>
              <w:t xml:space="preserve"> </w:t>
            </w:r>
            <w:r>
              <w:t xml:space="preserve">Hedstrom &amp; Pomeroy (1998)</w:t>
            </w:r>
            <w:r>
              <w:t xml:space="preserve">. A forested downwind distance of 100 m was assumed for the HP98 calculation.</w:t>
            </w:r>
          </w:p>
          <w:bookmarkEnd w:id="89"/>
        </w:tc>
      </w:tr>
    </w:tbl>
    <w:p>
      <w:pPr>
        <w:pStyle w:val="BodyText"/>
      </w:pPr>
      <w:r>
        <w:t xml:space="preserve">A function is proposed here to calculate plot-scale leaf contact area,</w:t>
      </w:r>
      <w:r>
        <w:t xml:space="preserve"> </w:t>
      </w:r>
      <m:oMath>
        <m:sSub>
          <m:e>
            <m:r>
              <m:t>C</m:t>
            </m:r>
          </m:e>
          <m:sub>
            <m:r>
              <m:t>p</m:t>
            </m:r>
          </m:sub>
        </m:sSub>
      </m:oMath>
      <w:r>
        <w:t xml:space="preserve"> </w:t>
      </w:r>
      <w:r>
        <w:t xml:space="preserve">(-):</w:t>
      </w:r>
    </w:p>
    <w:p>
      <w:pPr>
        <w:pStyle w:val="BodyText"/>
      </w:pPr>
      <w:bookmarkStart w:id="90"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r>
                <m:rPr>
                  <m:sty m:val="p"/>
                </m:rPr>
                <m:t>,</m:t>
              </m:r>
              <m:sSub>
                <m:e>
                  <m:r>
                    <m:t>C</m:t>
                  </m:r>
                </m:e>
                <m:sub>
                  <m:r>
                    <m:t>c</m:t>
                  </m:r>
                </m:sub>
              </m:sSub>
            </m:e>
          </m:d>
          <m:r>
            <m:t>  </m:t>
          </m:r>
          <m:d>
            <m:dPr>
              <m:begChr m:val="("/>
              <m:endChr m:val=")"/>
              <m:sepChr m:val=""/>
              <m:grow/>
            </m:dPr>
            <m:e>
              <m:r>
                <m:t>10</m:t>
              </m:r>
            </m:e>
          </m:d>
        </m:oMath>
      </m:oMathPara>
      <w:bookmarkEnd w:id="90"/>
    </w:p>
    <w:p>
      <w:pPr>
        <w:pStyle w:val="FirstParagraph"/>
      </w:pPr>
      <w:r>
        <w:t xml:space="preserve">where</w:t>
      </w:r>
      <w:r>
        <w:t xml:space="preserve"> </w:t>
      </w:r>
      <m:oMath>
        <m:sSub>
          <m:e>
            <m:r>
              <m:t>C</m:t>
            </m:r>
          </m:e>
          <m:sub>
            <m:r>
              <m:t>i</m:t>
            </m:r>
            <m:r>
              <m:t>n</m:t>
            </m:r>
            <m:r>
              <m:t>c</m:t>
            </m:r>
          </m:sub>
        </m:sSub>
      </m:oMath>
      <w:r>
        <w:t xml:space="preserve"> </w:t>
      </w:r>
      <w:r>
        <w:t xml:space="preserve">represents the increase in leaf contact area from</w:t>
      </w:r>
      <w:r>
        <w:t xml:space="preserve"> </w:t>
      </w:r>
      <m:oMath>
        <m:sSub>
          <m:e>
            <m:r>
              <m:t>C</m:t>
            </m:r>
          </m:e>
          <m:sub>
            <m:r>
              <m:t>c</m:t>
            </m:r>
          </m:sub>
        </m:sSub>
      </m:oMath>
      <w:r>
        <w:t xml:space="preserve">, and it is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To estimate</w:t>
      </w:r>
      <w:r>
        <w:t xml:space="preserve"> </w:t>
      </w:r>
      <m:oMath>
        <m:sSub>
          <m:e>
            <m:r>
              <m:t>C</m:t>
            </m:r>
          </m:e>
          <m:sub>
            <m:r>
              <m:t>i</m:t>
            </m:r>
            <m:r>
              <m:t>n</m:t>
            </m:r>
            <m:r>
              <m:t>c</m:t>
            </m:r>
          </m:sub>
        </m:sSub>
      </m:oMath>
      <w:r>
        <w:t xml:space="preserve"> </w:t>
      </w:r>
      <w:r>
        <w:t xml:space="preserve">in the absence of detailed canopy measurements, the following function is proposed:</w:t>
      </w:r>
    </w:p>
    <w:p>
      <w:pPr>
        <w:pStyle w:val="BodyText"/>
      </w:pPr>
      <w:bookmarkStart w:id="91" w:name="eq-lca-inc"/>
      <m:oMathPara>
        <m:oMathParaPr>
          <m:jc m:val="center"/>
        </m:oMathParaPr>
        <m:oMath>
          <m:sSub>
            <m:e>
              <m:r>
                <m:t>C</m:t>
              </m:r>
            </m:e>
            <m:sub>
              <m:r>
                <m:t>i</m:t>
              </m:r>
              <m:r>
                <m:t>n</m:t>
              </m:r>
              <m:r>
                <m:t>c</m:t>
              </m:r>
            </m:sub>
          </m:sSub>
          <m:r>
            <m:rPr>
              <m:sty m:val="p"/>
            </m:rPr>
            <m:t>=</m:t>
          </m:r>
          <m:d>
            <m:dPr>
              <m:begChr m:val="("/>
              <m:endChr m:val=")"/>
              <m:sepChr m:val=""/>
              <m:grow/>
            </m:dPr>
            <m:e>
              <m:r>
                <m:t>1</m:t>
              </m:r>
              <m:r>
                <m:rPr>
                  <m:sty m:val="p"/>
                </m:rPr>
                <m:t>−</m:t>
              </m:r>
              <m:sSub>
                <m:e>
                  <m:r>
                    <m:t>C</m:t>
                  </m:r>
                </m:e>
                <m:sub>
                  <m:r>
                    <m:t>c</m:t>
                  </m:r>
                </m:sub>
              </m:sSub>
            </m:e>
          </m:d>
          <m:r>
            <m:rPr>
              <m:sty m:val="p"/>
            </m:rPr>
            <m:t>⋅</m:t>
          </m:r>
          <m:r>
            <m:t>f</m:t>
          </m:r>
          <m:d>
            <m:dPr>
              <m:begChr m:val="("/>
              <m:endChr m:val=")"/>
              <m:sepChr m:val=""/>
              <m:grow/>
            </m:dPr>
            <m:e>
              <m:sSub>
                <m:e>
                  <m:r>
                    <m:t>θ</m:t>
                  </m:r>
                </m:e>
                <m:sub>
                  <m:r>
                    <m:t>h</m:t>
                  </m:r>
                </m:sub>
              </m:sSub>
            </m:e>
          </m:d>
          <m:r>
            <m:t>  </m:t>
          </m:r>
          <m:d>
            <m:dPr>
              <m:begChr m:val="("/>
              <m:endChr m:val=")"/>
              <m:sepChr m:val=""/>
              <m:grow/>
            </m:dPr>
            <m:e>
              <m:r>
                <m:t>11</m:t>
              </m:r>
            </m:e>
          </m:d>
        </m:oMath>
      </m:oMathPara>
      <w:bookmarkEnd w:id="91"/>
    </w:p>
    <w:p>
      <w:pPr>
        <w:pStyle w:val="FirstParagraph"/>
      </w:pPr>
      <w:r>
        <w:t xml:space="preserve">where</w:t>
      </w:r>
      <w:r>
        <w:t xml:space="preserve"> </w:t>
      </w:r>
      <m:oMath>
        <m:r>
          <m:t>1</m:t>
        </m:r>
        <m:r>
          <m:rPr>
            <m:sty m:val="p"/>
          </m:rPr>
          <m:t>−</m:t>
        </m:r>
        <m:sSub>
          <m:e>
            <m:r>
              <m:t>C</m:t>
            </m:r>
          </m:e>
          <m:sub>
            <m:r>
              <m:t>C</m:t>
            </m:r>
          </m:sub>
        </m:sSub>
      </m:oMath>
      <w:r>
        <w:t xml:space="preserve"> </w:t>
      </w:r>
      <w:r>
        <w:t xml:space="preserve">quantifies the available void space within the canopy and</w:t>
      </w:r>
      <w:r>
        <w:t xml:space="preserve"> </w:t>
      </w:r>
      <m:oMath>
        <m:r>
          <m:t>f</m:t>
        </m:r>
        <m:d>
          <m:dPr>
            <m:begChr m:val="("/>
            <m:endChr m:val=")"/>
            <m:sepChr m:val=""/>
            <m:grow/>
          </m:dPr>
          <m:e>
            <m:sSub>
              <m:e>
                <m:r>
                  <m:t>θ</m:t>
                </m:r>
              </m:e>
              <m:sub>
                <m:r>
                  <m:t>h</m:t>
                </m:r>
              </m:sub>
            </m:sSub>
          </m:e>
        </m:d>
      </m:oMath>
      <w:r>
        <w:t xml:space="preserve"> </w:t>
      </w:r>
      <w:r>
        <w:t xml:space="preserve">represents the fraction of that space that contributing to increased leaf contact area. Here,</w:t>
      </w:r>
      <w:r>
        <w:t xml:space="preserve"> </w:t>
      </w:r>
      <m:oMath>
        <m:r>
          <m:t>f</m:t>
        </m:r>
        <m:d>
          <m:dPr>
            <m:begChr m:val="("/>
            <m:endChr m:val=")"/>
            <m:sepChr m:val=""/>
            <m:grow/>
          </m:dPr>
          <m:e>
            <m:sSub>
              <m:e>
                <m:r>
                  <m:t>θ</m:t>
                </m:r>
              </m:e>
              <m:sub>
                <m:r>
                  <m:t>h</m:t>
                </m:r>
              </m:sub>
            </m:sSub>
          </m:e>
        </m:d>
      </m:oMath>
      <w:r>
        <w:t xml:space="preserve"> </w:t>
      </w:r>
      <w:r>
        <w:t xml:space="preserve">is approximated as:</w:t>
      </w:r>
    </w:p>
    <w:p>
      <w:pPr>
        <w:pStyle w:val="BodyText"/>
      </w:pPr>
      <w:bookmarkStart w:id="92" w:name="eq-f-theta"/>
      <m:oMathPara>
        <m:oMathParaPr>
          <m:jc m:val="center"/>
        </m:oMathParaPr>
        <m:oMath>
          <m:r>
            <m:t>f</m:t>
          </m:r>
          <m:d>
            <m:dPr>
              <m:begChr m:val="("/>
              <m:endChr m:val=")"/>
              <m:sepChr m:val=""/>
              <m:grow/>
            </m:dPr>
            <m:e>
              <m:sSub>
                <m:e>
                  <m:r>
                    <m:t>θ</m:t>
                  </m:r>
                </m:e>
                <m:sub>
                  <m:r>
                    <m:t>h</m:t>
                  </m:r>
                </m:sub>
              </m:sSub>
            </m:e>
          </m:d>
          <m:r>
            <m:rPr>
              <m:sty m:val="p"/>
            </m:rPr>
            <m:t>=</m:t>
          </m:r>
          <m:r>
            <m:t>b</m:t>
          </m:r>
          <m:r>
            <m:rPr>
              <m:sty m:val="p"/>
            </m:rPr>
            <m:t>⋅</m:t>
          </m:r>
          <m:r>
            <m:rPr>
              <m:nor/>
              <m:sty m:val="p"/>
            </m:rPr>
            <m:t>sin</m:t>
          </m:r>
          <m:sSup>
            <m:e>
              <m:d>
                <m:dPr>
                  <m:begChr m:val="("/>
                  <m:endChr m:val=")"/>
                  <m:sepChr m:val=""/>
                  <m:grow/>
                </m:dPr>
                <m:e>
                  <m:sSub>
                    <m:e>
                      <m:r>
                        <m:t>θ</m:t>
                      </m:r>
                    </m:e>
                    <m:sub>
                      <m:r>
                        <m:t>h</m:t>
                      </m:r>
                    </m:sub>
                  </m:sSub>
                </m:e>
              </m:d>
            </m:e>
            <m:sup>
              <m:r>
                <m:t>2</m:t>
              </m:r>
            </m:sup>
          </m:sSup>
          <m:r>
            <m:t>  </m:t>
          </m:r>
          <m:d>
            <m:dPr>
              <m:begChr m:val="("/>
              <m:endChr m:val=")"/>
              <m:sepChr m:val=""/>
              <m:grow/>
            </m:dPr>
            <m:e>
              <m:r>
                <m:t>12</m:t>
              </m:r>
            </m:e>
          </m:d>
        </m:oMath>
      </m:oMathPara>
      <w:bookmarkEnd w:id="92"/>
    </w:p>
    <w:p>
      <w:pPr>
        <w:pStyle w:val="FirstParagraph"/>
      </w:pPr>
      <w:r>
        <w:t xml:space="preserve">where</w:t>
      </w:r>
      <w:r>
        <w:t xml:space="preserve"> </w:t>
      </w:r>
      <m:oMath>
        <m:r>
          <m:t>b</m:t>
        </m:r>
      </m:oMath>
      <w:r>
        <w:t xml:space="preserve"> </w:t>
      </w:r>
      <w:r>
        <w:t xml:space="preserve">is a fitting coefficient, estimated to be ~0.91 through a non-linear least squares regression fit to the VoxRS measurements at both FT and PWL. The term</w:t>
      </w:r>
      <w:r>
        <w:t xml:space="preserve"> </w:t>
      </w:r>
      <m:oMath>
        <m:r>
          <m:rPr>
            <m:nor/>
            <m:sty m:val="p"/>
          </m:rPr>
          <m:t>sin</m:t>
        </m:r>
        <m:sSup>
          <m:e>
            <m:d>
              <m:dPr>
                <m:begChr m:val="("/>
                <m:endChr m:val=")"/>
                <m:sepChr m:val=""/>
                <m:grow/>
              </m:dPr>
              <m:e>
                <m:sSub>
                  <m:e>
                    <m:r>
                      <m:t>θ</m:t>
                    </m:r>
                  </m:e>
                  <m:sub>
                    <m:r>
                      <m:t>h</m:t>
                    </m:r>
                  </m:sub>
                </m:sSub>
              </m:e>
            </m:d>
          </m:e>
          <m:sup>
            <m:r>
              <m:t>2</m:t>
            </m:r>
          </m:sup>
        </m:sSup>
      </m:oMath>
      <w:r>
        <w:t xml:space="preserve"> </w:t>
      </w:r>
      <w:r>
        <w:t xml:space="preserve">reflects the relative increase in snow-leaf contact area, which in turn leads to a proportional decrease in the canopy void space (</w:t>
      </w:r>
      <m:oMath>
        <m:r>
          <m:t>1</m:t>
        </m:r>
        <m:r>
          <m:rPr>
            <m:sty m:val="p"/>
          </m:rPr>
          <m:t>−</m:t>
        </m:r>
        <m:sSub>
          <m:e>
            <m:r>
              <m:t>C</m:t>
            </m:r>
          </m:e>
          <m:sub>
            <m:r>
              <m:t>c</m:t>
            </m:r>
          </m:sub>
        </m:sSub>
      </m:oMath>
      <w:r>
        <w:t xml:space="preserve">). Thus, for</w:t>
      </w:r>
      <w:r>
        <w:t xml:space="preserve"> </w:t>
      </w:r>
      <m:oMath>
        <m:sSub>
          <m:e>
            <m:r>
              <m:t>θ</m:t>
            </m:r>
          </m:e>
          <m:sub>
            <m:r>
              <m:t>h</m:t>
            </m:r>
          </m:sub>
        </m:sSub>
      </m:oMath>
      <w:r>
        <w:t xml:space="preserve"> </w:t>
      </w:r>
      <w:r>
        <w:t xml:space="preserve">of 0°,</w:t>
      </w:r>
      <w:r>
        <w:t xml:space="preserve"> </w:t>
      </w:r>
      <m:oMath>
        <m:r>
          <m:t>f</m:t>
        </m:r>
        <m:d>
          <m:dPr>
            <m:begChr m:val="("/>
            <m:endChr m:val=")"/>
            <m:sepChr m:val=""/>
            <m:grow/>
          </m:dPr>
          <m:e>
            <m:sSub>
              <m:e>
                <m:r>
                  <m:t>θ</m:t>
                </m:r>
              </m:e>
              <m:sub>
                <m:r>
                  <m:t>h</m:t>
                </m:r>
              </m:sub>
            </m:sSub>
          </m:e>
        </m:d>
        <m:r>
          <m:rPr>
            <m:sty m:val="p"/>
          </m:rPr>
          <m:t>=</m:t>
        </m:r>
        <m:sSub>
          <m:e>
            <m:r>
              <m:t>C</m:t>
            </m:r>
          </m:e>
          <m:sub>
            <m:r>
              <m:t>i</m:t>
            </m:r>
            <m:r>
              <m:t>n</m:t>
            </m:r>
            <m:r>
              <m:t>c</m:t>
            </m:r>
          </m:sub>
        </m:sSub>
        <m:r>
          <m:rPr>
            <m:sty m:val="p"/>
          </m:rPr>
          <m:t>=</m:t>
        </m:r>
        <m:r>
          <m:t>0</m:t>
        </m:r>
      </m:oMath>
      <w:r>
        <w:t xml:space="preserve"> </w:t>
      </w:r>
      <w:r>
        <w:t xml:space="preserve">and</w:t>
      </w:r>
      <w:r>
        <w:t xml:space="preserve"> </w:t>
      </w:r>
      <m:oMath>
        <m:sSub>
          <m:e>
            <m:r>
              <m:t>C</m:t>
            </m:r>
          </m:e>
          <m:sub>
            <m:r>
              <m:t>p</m:t>
            </m:r>
          </m:sub>
        </m:sSub>
      </m:oMath>
      <w:r>
        <w:t xml:space="preserve"> </w:t>
      </w:r>
      <w:r>
        <w:t xml:space="preserve">is equal to the canopy coverage. In contrast, for</w:t>
      </w:r>
      <w:r>
        <w:t xml:space="preserve"> </w:t>
      </w:r>
      <m:oMath>
        <m:sSub>
          <m:e>
            <m:r>
              <m:t>θ</m:t>
            </m:r>
          </m:e>
          <m:sub>
            <m:r>
              <m:t>h</m:t>
            </m:r>
          </m:sub>
        </m:sSub>
      </m:oMath>
      <w:r>
        <w:t xml:space="preserve"> </w:t>
      </w:r>
      <w:r>
        <w:t xml:space="preserve">close to 90°,</w:t>
      </w:r>
      <w:r>
        <w:t xml:space="preserve"> </w:t>
      </w:r>
      <m:oMath>
        <m:sSub>
          <m:e>
            <m:r>
              <m:t>C</m:t>
            </m:r>
          </m:e>
          <m:sub>
            <m:r>
              <m:t>p</m:t>
            </m:r>
          </m:sub>
        </m:sSub>
      </m:oMath>
      <w:r>
        <w:t xml:space="preserve"> </w:t>
      </w:r>
      <w:r>
        <w:t xml:space="preserve">approaches a value of 1.0. The assumptions of</w:t>
      </w:r>
      <w:r>
        <w:t xml:space="preserve"> </w:t>
      </w:r>
      <w:hyperlink w:anchor="eq-f-theta">
        <w:r>
          <w:rPr>
            <w:rStyle w:val="Hyperlink"/>
          </w:rPr>
          <w:t xml:space="preserve">Equation 12</w:t>
        </w:r>
      </w:hyperlink>
      <w:r>
        <w:t xml:space="preserve"> </w:t>
      </w:r>
      <w:r>
        <w:t xml:space="preserve">include its application to a forest with relatively uniform structure (e.g., without large clear cuts) and where the mean height of the canopy is greater than the mean width of individual trees. Additionally, it is assumed that snowfall is not transmitted through the canopy and that overlapping of canopy elements is negligible.</w:t>
      </w:r>
    </w:p>
    <w:p>
      <w:pPr>
        <w:pStyle w:val="BodyText"/>
      </w:pPr>
      <w:r>
        <w:t xml:space="preserve">Simulated</w:t>
      </w:r>
      <w:r>
        <w:t xml:space="preserve"> </w:t>
      </w:r>
      <m:oMath>
        <m:sSub>
          <m:e>
            <m:r>
              <m:t>C</m:t>
            </m:r>
          </m:e>
          <m:sub>
            <m:r>
              <m:t>p</m:t>
            </m:r>
          </m:sub>
        </m:sSub>
      </m:oMath>
      <w:r>
        <w:t xml:space="preserve"> </w:t>
      </w:r>
      <w:r>
        <w:t xml:space="preserve">using</w:t>
      </w:r>
      <w:r>
        <w:t xml:space="preserve"> </w:t>
      </w:r>
      <w:hyperlink w:anchor="eq-lca-ac">
        <w:r>
          <w:rPr>
            <w:rStyle w:val="Hyperlink"/>
          </w:rPr>
          <w:t xml:space="preserve">Equation 10</w:t>
        </w:r>
      </w:hyperlink>
      <w:r>
        <w:t xml:space="preserve"> </w:t>
      </w:r>
      <w:r>
        <w:t xml:space="preserve">is shown in the dashed lines in the top row of</w:t>
      </w:r>
      <w:r>
        <w:t xml:space="preserve"> </w:t>
      </w:r>
      <w:hyperlink w:anchor="fig-lca-ht-ws">
        <w:r>
          <w:rPr>
            <w:rStyle w:val="Hyperlink"/>
          </w:rPr>
          <w:t xml:space="preserve">Figure 10</w:t>
        </w:r>
      </w:hyperlink>
      <w:r>
        <w:t xml:space="preserve"> </w:t>
      </w:r>
      <w:r>
        <w:t xml:space="preserve">and follows the VoxRS-measured mean</w:t>
      </w:r>
      <w:r>
        <w:t xml:space="preserve"> </w:t>
      </w:r>
      <m:oMath>
        <m:sSub>
          <m:e>
            <m:r>
              <m:t>C</m:t>
            </m:r>
          </m:e>
          <m:sub>
            <m:r>
              <m:t>p</m:t>
            </m:r>
          </m:sub>
        </m:sSub>
      </m:oMath>
      <w:r>
        <w:t xml:space="preserve"> </w:t>
      </w:r>
      <w:r>
        <w:t xml:space="preserve">closely. Model error statistics shown in</w:t>
      </w:r>
      <w:r>
        <w:t xml:space="preserve"> </w:t>
      </w:r>
      <w:hyperlink w:anchor="tbl-lca-mod-err">
        <w:r>
          <w:rPr>
            <w:rStyle w:val="Hyperlink"/>
          </w:rPr>
          <w:t xml:space="preserve">Table 5</w:t>
        </w:r>
      </w:hyperlink>
      <w:r>
        <w:t xml:space="preserve"> </w:t>
      </w:r>
      <w:r>
        <w:t xml:space="preserve">demonstrate that</w:t>
      </w:r>
      <w:r>
        <w:t xml:space="preserve"> </w:t>
      </w:r>
      <w:hyperlink w:anchor="eq-lca-inc">
        <w:r>
          <w:rPr>
            <w:rStyle w:val="Hyperlink"/>
          </w:rPr>
          <w:t xml:space="preserve">Equation 11</w:t>
        </w:r>
      </w:hyperlink>
      <w:r>
        <w:t xml:space="preserve"> </w:t>
      </w:r>
      <w:r>
        <w:t xml:space="preserve">performed well, with a mean bias and RMSE of -0.05 (-) and 0.05 (-) for PWL, and 0.03 (-) and 0.05 (-) for FT respectively. In contrast,</w:t>
      </w:r>
      <w:r>
        <w:t xml:space="preserve"> </w:t>
      </w:r>
      <w:hyperlink w:anchor="tbl-lca-mod-err">
        <w:r>
          <w:rPr>
            <w:rStyle w:val="Hyperlink"/>
          </w:rPr>
          <w:t xml:space="preserve">Table 5</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 (-) and 0.23 (-) for PWL, and -0.26 (-) and 0.32 (-) for FT respectively.</w:t>
      </w:r>
    </w:p>
    <w:tbl>
      <w:tblPr>
        <w:tblStyle w:val="Table"/>
        <w:tblW w:type="pct" w:w="5000"/>
        <w:tblLayout w:type="fixed"/>
        <w:tblLook w:firstRow="0" w:lastRow="0" w:firstColumn="0" w:lastColumn="0" w:noHBand="0" w:noVBand="0" w:val="0000"/>
      </w:tblPr>
      <w:tblGrid>
        <w:gridCol w:w="7920"/>
      </w:tblGrid>
      <w:tr>
        <w:tc>
          <w:tcPr/>
          <w:bookmarkStart w:id="93" w:name="tbl-lca-mod-err"/>
          <w:p>
            <w:pPr>
              <w:jc w:val="center"/>
            </w:pPr>
            <w:pPr>
              <w:jc w:val="start"/>
              <w:spacing w:before="200"/>
              <w:pStyle w:val="ImageCaption"/>
            </w:pPr>
            <w:r>
              <w:t xml:space="preserve">Table 5: Model error statistics calculated for the prediction of leaf contact area from trajectory angle using</w:t>
            </w:r>
            <w:r>
              <w:t xml:space="preserve"> </w:t>
            </w:r>
            <w:hyperlink w:anchor="eq-lca-inc">
              <w:r>
                <w:rPr>
                  <w:rStyle w:val="Hyperlink"/>
                </w:rPr>
                <w:t xml:space="preserve">Equation 11</w:t>
              </w:r>
            </w:hyperlink>
            <w:r>
              <w:t xml:space="preserve"> </w:t>
            </w:r>
            <w:r>
              <w:t xml:space="preserve">(Eq. 11) and Equation 10 from</w:t>
            </w:r>
            <w:r>
              <w:t xml:space="preserve"> </w:t>
            </w:r>
            <w:r>
              <w:t xml:space="preserve">Hedstrom &amp; Pomeroy (1998)</w:t>
            </w:r>
            <w:r>
              <w:t xml:space="preserve"> </w:t>
            </w:r>
            <w:r>
              <w:t xml:space="preserve">(HP98) 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Model</w:t>
                  </w:r>
                </w:p>
              </w:tc>
              <w:tc>
                <w:tcPr/>
                <w:p>
                  <w:pPr>
                    <w:pStyle w:val="Compact"/>
                    <w:jc w:val="left"/>
                    <w:jc w:val="center"/>
                  </w:pPr>
                  <w:r>
                    <w:t xml:space="preserve">Plot Name</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HP98</w:t>
                  </w:r>
                </w:p>
              </w:tc>
              <w:tc>
                <w:tcPr/>
                <w:p>
                  <w:pPr>
                    <w:pStyle w:val="Compact"/>
                    <w:jc w:val="left"/>
                    <w:jc w:val="center"/>
                  </w:pPr>
                  <w:r>
                    <w:t xml:space="preserve">FT</w:t>
                  </w:r>
                </w:p>
              </w:tc>
              <w:tc>
                <w:tcPr/>
                <w:p>
                  <w:pPr>
                    <w:pStyle w:val="Compact"/>
                    <w:jc w:val="right"/>
                    <w:jc w:val="center"/>
                  </w:pPr>
                  <w:r>
                    <w:t xml:space="preserve">-0.26</w:t>
                  </w:r>
                </w:p>
              </w:tc>
              <w:tc>
                <w:tcPr/>
                <w:p>
                  <w:pPr>
                    <w:pStyle w:val="Compact"/>
                    <w:jc w:val="right"/>
                    <w:jc w:val="center"/>
                  </w:pPr>
                  <w:r>
                    <w:t xml:space="preserve">0.26</w:t>
                  </w:r>
                </w:p>
              </w:tc>
              <w:tc>
                <w:tcPr/>
                <w:p>
                  <w:pPr>
                    <w:pStyle w:val="Compact"/>
                    <w:jc w:val="right"/>
                    <w:jc w:val="center"/>
                  </w:pPr>
                  <w:r>
                    <w:t xml:space="preserve">0.32</w:t>
                  </w:r>
                </w:p>
              </w:tc>
              <w:tc>
                <w:tcPr/>
                <w:p>
                  <w:pPr>
                    <w:pStyle w:val="Compact"/>
                    <w:jc w:val="right"/>
                    <w:jc w:val="center"/>
                  </w:pPr>
                  <w:r>
                    <w:t xml:space="preserve">-0.97</w:t>
                  </w:r>
                </w:p>
              </w:tc>
            </w:tr>
            <w:tr>
              <w:tc>
                <w:tcPr/>
                <w:p>
                  <w:pPr>
                    <w:pStyle w:val="Compact"/>
                    <w:jc w:val="left"/>
                    <w:jc w:val="center"/>
                  </w:pPr>
                  <w:r>
                    <w:t xml:space="preserve">HP98</w:t>
                  </w:r>
                </w:p>
              </w:tc>
              <w:tc>
                <w:tcPr/>
                <w:p>
                  <w:pPr>
                    <w:pStyle w:val="Compact"/>
                    <w:jc w:val="left"/>
                    <w:jc w:val="center"/>
                  </w:pPr>
                  <w:r>
                    <w:t xml:space="preserve">PWL</w:t>
                  </w:r>
                </w:p>
              </w:tc>
              <w:tc>
                <w:tcPr/>
                <w:p>
                  <w:pPr>
                    <w:pStyle w:val="Compact"/>
                    <w:jc w:val="right"/>
                    <w:jc w:val="center"/>
                  </w:pPr>
                  <w:r>
                    <w:t xml:space="preserve">-0.20</w:t>
                  </w:r>
                </w:p>
              </w:tc>
              <w:tc>
                <w:tcPr/>
                <w:p>
                  <w:pPr>
                    <w:pStyle w:val="Compact"/>
                    <w:jc w:val="right"/>
                    <w:jc w:val="center"/>
                  </w:pPr>
                  <w:r>
                    <w:t xml:space="preserve">0.20</w:t>
                  </w:r>
                </w:p>
              </w:tc>
              <w:tc>
                <w:tcPr/>
                <w:p>
                  <w:pPr>
                    <w:pStyle w:val="Compact"/>
                    <w:jc w:val="right"/>
                    <w:jc w:val="center"/>
                  </w:pPr>
                  <w:r>
                    <w:t xml:space="preserve">0.23</w:t>
                  </w:r>
                </w:p>
              </w:tc>
              <w:tc>
                <w:tcPr/>
                <w:p>
                  <w:pPr>
                    <w:pStyle w:val="Compact"/>
                    <w:jc w:val="right"/>
                    <w:jc w:val="center"/>
                  </w:pPr>
                  <w:r>
                    <w:t xml:space="preserve">-0.96</w:t>
                  </w:r>
                </w:p>
              </w:tc>
            </w:tr>
            <w:tr>
              <w:tc>
                <w:tcPr/>
                <w:p>
                  <w:pPr>
                    <w:pStyle w:val="Compact"/>
                    <w:jc w:val="left"/>
                    <w:jc w:val="center"/>
                  </w:pPr>
                  <w:r>
                    <w:t xml:space="preserve">Eq. 10</w:t>
                  </w:r>
                </w:p>
              </w:tc>
              <w:tc>
                <w:tcPr/>
                <w:p>
                  <w:pPr>
                    <w:pStyle w:val="Compact"/>
                    <w:jc w:val="left"/>
                    <w:jc w:val="center"/>
                  </w:pPr>
                  <w:r>
                    <w:t xml:space="preserve">FT</w:t>
                  </w:r>
                </w:p>
              </w:tc>
              <w:tc>
                <w:tcPr/>
                <w:p>
                  <w:pPr>
                    <w:pStyle w:val="Compact"/>
                    <w:jc w:val="right"/>
                    <w:jc w:val="center"/>
                  </w:pPr>
                  <w:r>
                    <w:t xml:space="preserve">0.03</w:t>
                  </w:r>
                </w:p>
              </w:tc>
              <w:tc>
                <w:tcPr/>
                <w:p>
                  <w:pPr>
                    <w:pStyle w:val="Compact"/>
                    <w:jc w:val="right"/>
                    <w:jc w:val="center"/>
                  </w:pPr>
                  <w:r>
                    <w:t xml:space="preserve">0.04</w:t>
                  </w:r>
                </w:p>
              </w:tc>
              <w:tc>
                <w:tcPr/>
                <w:p>
                  <w:pPr>
                    <w:pStyle w:val="Compact"/>
                    <w:jc w:val="right"/>
                    <w:jc w:val="center"/>
                  </w:pPr>
                  <w:r>
                    <w:t xml:space="preserve">0.05</w:t>
                  </w:r>
                </w:p>
              </w:tc>
              <w:tc>
                <w:tcPr/>
                <w:p>
                  <w:pPr>
                    <w:pStyle w:val="Compact"/>
                    <w:jc w:val="right"/>
                    <w:jc w:val="center"/>
                  </w:pPr>
                  <w:r>
                    <w:t xml:space="preserve">0.95</w:t>
                  </w:r>
                </w:p>
              </w:tc>
            </w:tr>
            <w:tr>
              <w:tc>
                <w:tcPr/>
                <w:p>
                  <w:pPr>
                    <w:pStyle w:val="Compact"/>
                    <w:jc w:val="left"/>
                    <w:jc w:val="center"/>
                  </w:pPr>
                  <w:r>
                    <w:t xml:space="preserve">Eq. 10</w:t>
                  </w:r>
                </w:p>
              </w:tc>
              <w:tc>
                <w:tcPr/>
                <w:p>
                  <w:pPr>
                    <w:pStyle w:val="Compact"/>
                    <w:jc w:val="left"/>
                    <w:jc w:val="center"/>
                  </w:pPr>
                  <w:r>
                    <w:t xml:space="preserve">PWL</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0.90</w:t>
                  </w:r>
                </w:p>
              </w:tc>
            </w:tr>
          </w:tbl>
          <w:bookmarkEnd w:id="93"/>
          <w:p/>
        </w:tc>
      </w:tr>
    </w:tbl>
    <w:bookmarkEnd w:id="94"/>
    <w:bookmarkStart w:id="100" w:name="throughfall-model-performance"/>
    <w:p>
      <w:pPr>
        <w:pStyle w:val="Heading2"/>
      </w:pPr>
      <w:r>
        <w:t xml:space="preserve">4.4 Throughfall model performance</w:t>
      </w:r>
    </w:p>
    <w:p>
      <w:pPr>
        <w:pStyle w:val="FirstParagraph"/>
      </w:pPr>
      <w:r>
        <w:t xml:space="preserve">The performance of the interception efficiency (</w:t>
      </w:r>
      <w:hyperlink w:anchor="eq-lca-ip">
        <w:r>
          <w:rPr>
            <w:rStyle w:val="Hyperlink"/>
          </w:rPr>
          <w:t xml:space="preserve">Equation 9</w:t>
        </w:r>
      </w:hyperlink>
      <w:r>
        <w:t xml:space="preserve">) and leaf contact area (</w:t>
      </w:r>
      <w:hyperlink w:anchor="eq-lca-ac">
        <w:r>
          <w:rPr>
            <w:rStyle w:val="Hyperlink"/>
          </w:rPr>
          <w:t xml:space="preserve">Equation 10</w:t>
        </w:r>
      </w:hyperlink>
      <w:r>
        <w:t xml:space="preserve">) parameterizations in estimating event throughfall was assessed against UAV-lidar measurements of throughfall at the plot scale for the March 13–14</w:t>
      </w:r>
      <w:r>
        <w:rPr>
          <w:vertAlign w:val="superscript"/>
        </w:rPr>
        <w:t xml:space="preserve">th</w:t>
      </w:r>
      <w:r>
        <w:t xml:space="preserve"> </w:t>
      </w:r>
      <w:r>
        <w:t xml:space="preserve">snowfall event. In this assessment, the hydrometeor trajectory angle was approximated using</w:t>
      </w:r>
      <w:r>
        <w:t xml:space="preserve"> </w:t>
      </w:r>
      <w:hyperlink w:anchor="eq-ta">
        <w:r>
          <w:rPr>
            <w:rStyle w:val="Hyperlink"/>
          </w:rPr>
          <w:t xml:space="preserve">Equation 4</w:t>
        </w:r>
      </w:hyperlink>
      <w:r>
        <w:t xml:space="preserve"> </w:t>
      </w:r>
      <w:r>
        <w:t xml:space="preserve">combined with the mean event wind speed at one-third the mean canopy height (estimated from</w:t>
      </w:r>
      <w:r>
        <w:t xml:space="preserve"> </w:t>
      </w:r>
      <w:hyperlink w:anchor="eq-cionco">
        <w:r>
          <w:rPr>
            <w:rStyle w:val="Hyperlink"/>
          </w:rPr>
          <w:t xml:space="preserve">Equation 5</w:t>
        </w:r>
      </w:hyperlink>
      <w:r>
        <w:t xml:space="preserve"> </w:t>
      </w:r>
      <w:r>
        <w:t xml:space="preserve">and the observed wind speed at FT station) and hydrometeor terminal velocity (measured at PWL station). Leaf contact area was then estimated using</w:t>
      </w:r>
      <w:r>
        <w:t xml:space="preserve"> </w:t>
      </w:r>
      <w:hyperlink w:anchor="eq-lca-ac">
        <w:r>
          <w:rPr>
            <w:rStyle w:val="Hyperlink"/>
          </w:rPr>
          <w:t xml:space="preserve">Equation 10</w:t>
        </w:r>
      </w:hyperlink>
      <w:r>
        <w:t xml:space="preserve"> </w:t>
      </w:r>
      <w:r>
        <w:t xml:space="preserve">for the PWL and FT plots, incorporating the approximated hydrometeor trajectory angle and observed canopy coverage from the VoxRS dataset. Interception efficiency was calculated using</w:t>
      </w:r>
      <w:r>
        <w:t xml:space="preserve"> </w:t>
      </w:r>
      <w:hyperlink w:anchor="eq-lca-ip">
        <w:r>
          <w:rPr>
            <w:rStyle w:val="Hyperlink"/>
          </w:rPr>
          <w:t xml:space="preserve">Equation 9</w:t>
        </w:r>
      </w:hyperlink>
      <w:r>
        <w:t xml:space="preserve"> </w:t>
      </w:r>
      <w:r>
        <w:t xml:space="preserve">with the estimated leaf contact area and accumulated snowfall measured at PWL station for the event. An</w:t>
      </w:r>
      <w:r>
        <w:t xml:space="preserve"> </w:t>
      </w:r>
      <m:oMath>
        <m:r>
          <m:t>α</m:t>
        </m:r>
      </m:oMath>
      <w:r>
        <w:t xml:space="preserve"> </w:t>
      </w:r>
      <w:r>
        <w:t xml:space="preserve">value, used in</w:t>
      </w:r>
      <w:r>
        <w:t xml:space="preserve"> </w:t>
      </w:r>
      <w:hyperlink w:anchor="eq-lca-ip">
        <w:r>
          <w:rPr>
            <w:rStyle w:val="Hyperlink"/>
          </w:rPr>
          <w:t xml:space="preserve">Equation 9</w:t>
        </w:r>
      </w:hyperlink>
      <w:r>
        <w:t xml:space="preserve">, of 0.978 (-) was found through calibration which provided the best fit between observed and simulated interception efficiency at the plot scale for both FT and PWL.</w:t>
      </w:r>
    </w:p>
    <w:p>
      <w:pPr>
        <w:pStyle w:val="BodyText"/>
      </w:pPr>
      <w:hyperlink w:anchor="fig-event-tf">
        <w:r>
          <w:rPr>
            <w:rStyle w:val="Hyperlink"/>
          </w:rPr>
          <w:t xml:space="preserve">Figure 11</w:t>
        </w:r>
      </w:hyperlink>
      <w:r>
        <w:t xml:space="preserve"> </w:t>
      </w:r>
      <w:r>
        <w:t xml:space="preserve">illustrates that the new vector-based parameterization closely matches UAV-lidar measurements of throughfall. Modelled throughfall from the vector-based model was 17.2 mm compared to the measured throughfall of 16.6 mm for PWL. For FT, the vector-based modelled throughfall was 21.5 mm, while the measured values where 22.1 mm.</w:t>
      </w:r>
      <w:r>
        <w:t xml:space="preserve"> </w:t>
      </w:r>
      <w:hyperlink w:anchor="tbl-vb-plot-err">
        <w:r>
          <w:rPr>
            <w:rStyle w:val="Hyperlink"/>
          </w:rPr>
          <w:t xml:space="preserve">Table 6</w:t>
        </w:r>
      </w:hyperlink>
      <w:r>
        <w:t xml:space="preserve"> </w:t>
      </w:r>
      <w:r>
        <w:t xml:space="preserve">presents both observed and modelled values for interception efficiency and throughfall, along with corresponding error statistics. The vector-based model shows a lower mean bias of -0.6 mm for PWL and 0.6 mm for FT, in contrast to the nadir-based model, which overestimated throughfall for both plots. This overestimation occurred because the nadir-based model approximated leaf contact area directly from canopy cover measurements (i.e., was not adjusted using</w:t>
      </w:r>
      <w:r>
        <w:t xml:space="preserve"> </w:t>
      </w:r>
      <w:hyperlink w:anchor="eq-lca-ac">
        <w:r>
          <w:rPr>
            <w:rStyle w:val="Hyperlink"/>
          </w:rPr>
          <w:t xml:space="preserve">Equation 10</w:t>
        </w:r>
      </w:hyperlink>
      <w:r>
        <w:t xml:space="preserve">), resulting in a lower estimated contact area and consequently less snow intercepted in the canopy.</w:t>
      </w:r>
    </w:p>
    <w:tbl>
      <w:tblPr>
        <w:tblStyle w:val="Table"/>
        <w:tblW w:type="pct" w:w="5000"/>
        <w:tblLayout w:type="fixed"/>
        <w:tblLook w:firstRow="0" w:lastRow="0" w:firstColumn="0" w:lastColumn="0" w:noHBand="0" w:noVBand="0" w:val="0000"/>
      </w:tblPr>
      <w:tblGrid>
        <w:gridCol w:w="7920"/>
      </w:tblGrid>
      <w:tr>
        <w:tc>
          <w:tcPr/>
          <w:bookmarkStart w:id="98" w:name="fig-event-tf"/>
          <w:p>
            <w:pPr>
              <w:pStyle w:val="Compact"/>
              <w:jc w:val="center"/>
            </w:pPr>
            <w:r>
              <w:drawing>
                <wp:inline>
                  <wp:extent cx="4587290" cy="2752374"/>
                  <wp:effectExtent b="0" l="0" r="0" t="0"/>
                  <wp:docPr descr="" title="" id="96" name="Picture"/>
                  <a:graphic>
                    <a:graphicData uri="http://schemas.openxmlformats.org/drawingml/2006/picture">
                      <pic:pic>
                        <pic:nvPicPr>
                          <pic:cNvPr descr="figs/lidar_periods/23_072_23_073_event_throughfall_totals_obs_vs_vb_vs_nadir.png" id="97" name="Picture"/>
                          <pic:cNvPicPr>
                            <a:picLocks noChangeArrowheads="1" noChangeAspect="1"/>
                          </pic:cNvPicPr>
                        </pic:nvPicPr>
                        <pic:blipFill>
                          <a:blip r:embed="rId95"/>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Bar chart comparing the observed and modelled mean change in throughfall (</w:t>
            </w:r>
            <m:oMath>
              <m:r>
                <m:t>Δ</m:t>
              </m:r>
              <m:r>
                <m:rPr>
                  <m:nor/>
                  <m:sty m:val="p"/>
                </m:rPr>
                <m:t>SWE</m:t>
              </m:r>
            </m:oMath>
            <w:r>
              <w:t xml:space="preserve">, mm) over the March 13-14</w:t>
            </w:r>
            <w:r>
              <w:rPr>
                <w:vertAlign w:val="superscript"/>
              </w:rPr>
              <w:t xml:space="preserve">th</w:t>
            </w:r>
            <w:r>
              <w:t xml:space="preserve"> </w:t>
            </w:r>
            <w:r>
              <w:t xml:space="preserve">snowfall event averaged over forest plots FT and PWL. The</w:t>
            </w:r>
            <w:r>
              <w:t xml:space="preserve"> </w:t>
            </w:r>
            <w:r>
              <w:t xml:space="preserve">‘</w:t>
            </w:r>
            <w:r>
              <w:t xml:space="preserve">Nadir-model</w:t>
            </w:r>
            <w:r>
              <w:t xml:space="preserve">’</w:t>
            </w:r>
            <w:r>
              <w:t xml:space="preserve"> </w:t>
            </w:r>
            <w:r>
              <w:t xml:space="preserve">used</w:t>
            </w:r>
            <w:r>
              <w:t xml:space="preserve"> </w:t>
            </w:r>
            <w:hyperlink w:anchor="eq-lca-ip">
              <w:r>
                <w:rPr>
                  <w:rStyle w:val="Hyperlink"/>
                </w:rPr>
                <w:t xml:space="preserve">Equation 9</w:t>
              </w:r>
            </w:hyperlink>
            <w:r>
              <w:t xml:space="preserve"> </w:t>
            </w:r>
            <w:r>
              <w:t xml:space="preserve">not adjusted for trajectory angle (e.g.,</w:t>
            </w:r>
            <w:r>
              <w:t xml:space="preserve"> </w:t>
            </w:r>
            <m:oMath>
              <m:sSub>
                <m:e>
                  <m:r>
                    <m:t>C</m:t>
                  </m:r>
                </m:e>
                <m:sub>
                  <m:r>
                    <m:t>c</m:t>
                  </m:r>
                </m:sub>
              </m:sSub>
            </m:oMath>
            <w:r>
              <w:t xml:space="preserve">) and the Vector-based</w:t>
            </w:r>
            <w:r>
              <w:t xml:space="preserve"> </w:t>
            </w:r>
            <w:r>
              <w:t xml:space="preserve">‘</w:t>
            </w:r>
            <w:r>
              <w:t xml:space="preserve">VB-model</w:t>
            </w:r>
            <w:r>
              <w:t xml:space="preserve">’</w:t>
            </w:r>
            <w:r>
              <w:t xml:space="preserve"> </w:t>
            </w:r>
            <w:r>
              <w:t xml:space="preserve">which uses</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Hyperlink"/>
                </w:rPr>
                <w:t xml:space="preserve">Equation 6</w:t>
              </w:r>
            </w:hyperlink>
            <w:r>
              <w:t xml:space="preserve"> </w:t>
            </w:r>
            <w:r>
              <w:t xml:space="preserve">incorporating UAV-lidar snow depth and snow density from in-situ snow pits. The black horizontal dashed line shows the accumulated SWE (mm) over the snowfall event to the PWL station open clearing.</w:t>
            </w:r>
          </w:p>
          <w:bookmarkEnd w:id="98"/>
        </w:tc>
      </w:tr>
    </w:tbl>
    <w:p>
      <w:r>
        <w:br w:type="page"/>
      </w:r>
    </w:p>
    <w:tbl>
      <w:tblPr>
        <w:tblStyle w:val="Table"/>
        <w:tblW w:type="pct" w:w="5000"/>
        <w:tblLayout w:type="fixed"/>
        <w:tblLook w:firstRow="0" w:lastRow="0" w:firstColumn="0" w:lastColumn="0" w:noHBand="0" w:noVBand="0" w:val="0000"/>
      </w:tblPr>
      <w:tblGrid>
        <w:gridCol w:w="7920"/>
      </w:tblGrid>
      <w:tr>
        <w:tc>
          <w:tcPr/>
          <w:bookmarkStart w:id="99" w:name="tbl-vb-plot-err"/>
          <w:p>
            <w:pPr>
              <w:jc w:val="center"/>
            </w:pPr>
            <w:pPr>
              <w:jc w:val="start"/>
              <w:spacing w:before="200"/>
              <w:pStyle w:val="ImageCaption"/>
            </w:pPr>
            <w:r>
              <w:t xml:space="preserve">Table 6: Model error statistics for model estimates of snow interception efficiency (I/P) and throughfall (TF) compared to measurements of I/P and TF using UAV-lidar averaged over the FT and PWL forest plots. Units for I/P are (-) and TF are (mm). The vector-based model utilized</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Hyperlink"/>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5000"/>
              <w:tblLayout w:type="fixed"/>
              <w:tblLook w:firstRow="1" w:lastRow="0" w:firstColumn="0" w:lastColumn="0" w:noHBand="0" w:noVBand="0" w:val="0020"/>
            </w:tblPr>
            <w:tblGrid>
              <w:gridCol w:w="507"/>
              <w:gridCol w:w="1218"/>
              <w:gridCol w:w="1116"/>
              <w:gridCol w:w="609"/>
              <w:gridCol w:w="1116"/>
              <w:gridCol w:w="1116"/>
              <w:gridCol w:w="1015"/>
              <w:gridCol w:w="1218"/>
            </w:tblGrid>
            <w:tr>
              <w:trPr>
                <w:tblHeader w:val="on"/>
              </w:trPr>
              <w:tc>
                <w:tcPr/>
                <w:p>
                  <w:pPr>
                    <w:pStyle w:val="Compact"/>
                    <w:jc w:val="left"/>
                    <w:jc w:val="center"/>
                  </w:pPr>
                  <w:r>
                    <w:t xml:space="preserve">Plot</w:t>
                  </w:r>
                </w:p>
              </w:tc>
              <w:tc>
                <w:tcPr/>
                <w:p>
                  <w:pPr>
                    <w:pStyle w:val="Compact"/>
                    <w:jc w:val="left"/>
                    <w:jc w:val="center"/>
                  </w:pPr>
                  <w:r>
                    <w:t xml:space="preserve">Model Type</w:t>
                  </w:r>
                </w:p>
              </w:tc>
              <w:tc>
                <w:tcPr/>
                <w:p>
                  <w:pPr>
                    <w:pStyle w:val="Compact"/>
                    <w:jc w:val="left"/>
                    <w:jc w:val="center"/>
                  </w:pPr>
                  <w:r>
                    <w:t xml:space="preserve">Value Name</w:t>
                  </w:r>
                </w:p>
              </w:tc>
              <w:tc>
                <w:tcPr/>
                <w:p>
                  <w:pPr>
                    <w:pStyle w:val="Compact"/>
                    <w:jc w:val="left"/>
                    <w:jc w:val="center"/>
                  </w:pPr>
                  <w:r>
                    <w:t xml:space="preserve">Units</w:t>
                  </w:r>
                </w:p>
              </w:tc>
              <w:tc>
                <w:tcPr/>
                <w:p>
                  <w:pPr>
                    <w:pStyle w:val="Compact"/>
                    <w:jc w:val="right"/>
                    <w:jc w:val="center"/>
                  </w:pPr>
                  <w:r>
                    <w:t xml:space="preserve">Obs. Value</w:t>
                  </w:r>
                </w:p>
              </w:tc>
              <w:tc>
                <w:tcPr/>
                <w:p>
                  <w:pPr>
                    <w:pStyle w:val="Compact"/>
                    <w:jc w:val="right"/>
                    <w:jc w:val="center"/>
                  </w:pPr>
                  <w:r>
                    <w:t xml:space="preserve">Mod. Value</w:t>
                  </w:r>
                </w:p>
              </w:tc>
              <w:tc>
                <w:tcPr/>
                <w:p>
                  <w:pPr>
                    <w:pStyle w:val="Compact"/>
                    <w:jc w:val="right"/>
                    <w:jc w:val="center"/>
                  </w:pPr>
                  <w:r>
                    <w:t xml:space="preserve">Mean Bias</w:t>
                  </w:r>
                </w:p>
              </w:tc>
              <w:tc>
                <w:tcPr/>
                <w:p>
                  <w:pPr>
                    <w:pStyle w:val="Compact"/>
                    <w:jc w:val="right"/>
                    <w:jc w:val="center"/>
                  </w:pPr>
                  <w:r>
                    <w:t xml:space="preserve">Perc. Error</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0.25</w:t>
                  </w:r>
                </w:p>
              </w:tc>
              <w:tc>
                <w:tcPr/>
                <w:p>
                  <w:pPr>
                    <w:pStyle w:val="Compact"/>
                    <w:jc w:val="right"/>
                    <w:jc w:val="center"/>
                  </w:pPr>
                  <w:r>
                    <w:t xml:space="preserve">-0.02</w:t>
                  </w:r>
                </w:p>
              </w:tc>
              <w:tc>
                <w:tcPr/>
                <w:p>
                  <w:pPr>
                    <w:pStyle w:val="Compact"/>
                    <w:jc w:val="right"/>
                    <w:jc w:val="center"/>
                  </w:pPr>
                  <w:r>
                    <w:t xml:space="preserve">-9.01</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0.20</w:t>
                  </w:r>
                </w:p>
              </w:tc>
              <w:tc>
                <w:tcPr/>
                <w:p>
                  <w:pPr>
                    <w:pStyle w:val="Compact"/>
                    <w:jc w:val="right"/>
                    <w:jc w:val="center"/>
                  </w:pPr>
                  <w:r>
                    <w:t xml:space="preserve">0.03</w:t>
                  </w:r>
                </w:p>
              </w:tc>
              <w:tc>
                <w:tcPr/>
                <w:p>
                  <w:pPr>
                    <w:pStyle w:val="Compact"/>
                    <w:jc w:val="right"/>
                    <w:jc w:val="center"/>
                  </w:pPr>
                  <w:r>
                    <w:t xml:space="preserve">12.10</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21.53</w:t>
                  </w:r>
                </w:p>
              </w:tc>
              <w:tc>
                <w:tcPr/>
                <w:p>
                  <w:pPr>
                    <w:pStyle w:val="Compact"/>
                    <w:jc w:val="right"/>
                    <w:jc w:val="center"/>
                  </w:pPr>
                  <w:r>
                    <w:t xml:space="preserve">0.59</w:t>
                  </w:r>
                </w:p>
              </w:tc>
              <w:tc>
                <w:tcPr/>
                <w:p>
                  <w:pPr>
                    <w:pStyle w:val="Compact"/>
                    <w:jc w:val="right"/>
                    <w:jc w:val="center"/>
                  </w:pPr>
                  <w:r>
                    <w:t xml:space="preserve">2.67</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22.91</w:t>
                  </w:r>
                </w:p>
              </w:tc>
              <w:tc>
                <w:tcPr/>
                <w:p>
                  <w:pPr>
                    <w:pStyle w:val="Compact"/>
                    <w:jc w:val="right"/>
                    <w:jc w:val="center"/>
                  </w:pPr>
                  <w:r>
                    <w:t xml:space="preserve">-0.79</w:t>
                  </w:r>
                </w:p>
              </w:tc>
              <w:tc>
                <w:tcPr/>
                <w:p>
                  <w:pPr>
                    <w:pStyle w:val="Compact"/>
                    <w:jc w:val="right"/>
                    <w:jc w:val="center"/>
                  </w:pPr>
                  <w:r>
                    <w:t xml:space="preserve">-3.58</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0.40</w:t>
                  </w:r>
                </w:p>
              </w:tc>
              <w:tc>
                <w:tcPr/>
                <w:p>
                  <w:pPr>
                    <w:pStyle w:val="Compact"/>
                    <w:jc w:val="right"/>
                    <w:jc w:val="center"/>
                  </w:pPr>
                  <w:r>
                    <w:t xml:space="preserve">0.02</w:t>
                  </w:r>
                </w:p>
              </w:tc>
              <w:tc>
                <w:tcPr/>
                <w:p>
                  <w:pPr>
                    <w:pStyle w:val="Compact"/>
                    <w:jc w:val="right"/>
                    <w:jc w:val="center"/>
                  </w:pPr>
                  <w:r>
                    <w:t xml:space="preserve">4.91</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0.37</w:t>
                  </w:r>
                </w:p>
              </w:tc>
              <w:tc>
                <w:tcPr/>
                <w:p>
                  <w:pPr>
                    <w:pStyle w:val="Compact"/>
                    <w:jc w:val="right"/>
                    <w:jc w:val="center"/>
                  </w:pPr>
                  <w:r>
                    <w:t xml:space="preserve">0.05</w:t>
                  </w:r>
                </w:p>
              </w:tc>
              <w:tc>
                <w:tcPr/>
                <w:p>
                  <w:pPr>
                    <w:pStyle w:val="Compact"/>
                    <w:jc w:val="right"/>
                    <w:jc w:val="center"/>
                  </w:pPr>
                  <w:r>
                    <w:t xml:space="preserve">12.95</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17.24</w:t>
                  </w:r>
                </w:p>
              </w:tc>
              <w:tc>
                <w:tcPr/>
                <w:p>
                  <w:pPr>
                    <w:pStyle w:val="Compact"/>
                    <w:jc w:val="right"/>
                    <w:jc w:val="center"/>
                  </w:pPr>
                  <w:r>
                    <w:t xml:space="preserve">-0.59</w:t>
                  </w:r>
                </w:p>
              </w:tc>
              <w:tc>
                <w:tcPr/>
                <w:p>
                  <w:pPr>
                    <w:pStyle w:val="Compact"/>
                    <w:jc w:val="right"/>
                    <w:jc w:val="center"/>
                  </w:pPr>
                  <w:r>
                    <w:t xml:space="preserve">-3.55</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18.20</w:t>
                  </w:r>
                </w:p>
              </w:tc>
              <w:tc>
                <w:tcPr/>
                <w:p>
                  <w:pPr>
                    <w:pStyle w:val="Compact"/>
                    <w:jc w:val="right"/>
                    <w:jc w:val="center"/>
                  </w:pPr>
                  <w:r>
                    <w:t xml:space="preserve">-1.56</w:t>
                  </w:r>
                </w:p>
              </w:tc>
              <w:tc>
                <w:tcPr/>
                <w:p>
                  <w:pPr>
                    <w:pStyle w:val="Compact"/>
                    <w:jc w:val="right"/>
                    <w:jc w:val="center"/>
                  </w:pPr>
                  <w:r>
                    <w:t xml:space="preserve">-9.35</w:t>
                  </w:r>
                </w:p>
              </w:tc>
            </w:tr>
          </w:tbl>
          <w:bookmarkEnd w:id="99"/>
          <w:p/>
        </w:tc>
      </w:tr>
    </w:tbl>
    <w:bookmarkEnd w:id="100"/>
    <w:bookmarkEnd w:id="101"/>
    <w:bookmarkStart w:id="102" w:name="discussion"/>
    <w:p>
      <w:pPr>
        <w:pStyle w:val="Heading1"/>
      </w:pPr>
      <w:r>
        <w:t xml:space="preserve">5. Discussion</w:t>
      </w:r>
    </w:p>
    <w:p>
      <w:pPr>
        <w:pStyle w:val="FirstParagraph"/>
      </w:pPr>
      <w:r>
        <w:t xml:space="preserve">The point scale observations presented in</w:t>
      </w:r>
      <w:r>
        <w:t xml:space="preserve"> </w:t>
      </w:r>
      <w:hyperlink w:anchor="fig-scl-ip-bins">
        <w:r>
          <w:rPr>
            <w:rStyle w:val="Hyperlink"/>
          </w:rPr>
          <w:t xml:space="preserve">Figure 5</w:t>
        </w:r>
      </w:hyperlink>
      <w:r>
        <w:t xml:space="preserve"> </w:t>
      </w:r>
      <w:r>
        <w:t xml:space="preserve">indicate that air temperature had little influence on initial interception efficiency during periods where melt and unloading of snow were less likely. This finding aligns with</w:t>
      </w:r>
      <w:r>
        <w:t xml:space="preserve"> </w:t>
      </w:r>
      <w:r>
        <w:t xml:space="preserve">Storck et al. (2002)</w:t>
      </w:r>
      <w:r>
        <w:t xml:space="preserve">, who observed that variations in air temperature did not significantly affect interception efficiency for measurements that partitioned ablation and initial canopy snow loading processes. However, other studies have presented positive</w:t>
      </w:r>
      <w:r>
        <w:t xml:space="preserve"> </w:t>
      </w:r>
      <w:r>
        <w:t xml:space="preserve">(Andreadis et al., 2009; Katsushima et al., 2023; Roth &amp; Nolin, 2019)</w:t>
      </w:r>
      <w:r>
        <w:t xml:space="preserve"> </w:t>
      </w:r>
      <w:r>
        <w:t xml:space="preserve">and negative</w:t>
      </w:r>
      <w:r>
        <w:t xml:space="preserve"> </w:t>
      </w:r>
      <w:r>
        <w:t xml:space="preserve">(Hedstrom &amp; Pomeroy, 1998; Schmidt &amp; Gluns, 1991)</w:t>
      </w:r>
      <w:r>
        <w:t xml:space="preserve"> </w:t>
      </w:r>
      <w:r>
        <w:t xml:space="preserve">relationships between air temperature and snow interception. The limited association found over the wide range in air temperatures observed here may be explained as air temperature influences processes that both increase or decrease interception efficiency. For example, warmer temperatures increase branch flexibility</w:t>
      </w:r>
      <w:r>
        <w:t xml:space="preserve"> </w:t>
      </w:r>
      <w:r>
        <w:t xml:space="preserve">(Schmidt &amp; Gluns, 1991)</w:t>
      </w:r>
      <w:r>
        <w:t xml:space="preserve"> </w:t>
      </w:r>
      <w:r>
        <w:t xml:space="preserve">and can cause snow loaded branches to bend and thus reduce</w:t>
      </w:r>
      <w:r>
        <w:t xml:space="preserve"> </w:t>
      </w:r>
      <m:oMath>
        <m:sSub>
          <m:e>
            <m:r>
              <m:t>C</m:t>
            </m:r>
          </m:e>
          <m:sub>
            <m:r>
              <m:t>p</m:t>
            </m:r>
          </m:sub>
        </m:sSub>
      </m:oMath>
      <w:r>
        <w:t xml:space="preserve">. In contrast, the cohesion and adhesion of snowfall has been shown to increase for warmer temperatures</w:t>
      </w:r>
      <w:r>
        <w:t xml:space="preserve"> </w:t>
      </w:r>
      <w:r>
        <w:t xml:space="preserve">(Kobayashi, 1987; Pfister &amp; Schneebeli, 1999)</w:t>
      </w:r>
      <w:r>
        <w:t xml:space="preserve"> </w:t>
      </w:r>
      <w:r>
        <w:t xml:space="preserve">which could increase the efficiency constant (i.e.,</w:t>
      </w:r>
      <w:r>
        <w:t xml:space="preserve"> </w:t>
      </w:r>
      <m:oMath>
        <m:r>
          <m:t>α</m:t>
        </m:r>
      </m:oMath>
      <w:r>
        <w:t xml:space="preserve"> </w:t>
      </w:r>
      <w:r>
        <w:t xml:space="preserve">in</w:t>
      </w:r>
      <w:r>
        <w:t xml:space="preserve"> </w:t>
      </w:r>
      <w:hyperlink w:anchor="eq-lca-ip">
        <w:r>
          <w:rPr>
            <w:rStyle w:val="Hyperlink"/>
          </w:rPr>
          <w:t xml:space="preserve">Equation 9</w:t>
        </w:r>
      </w:hyperlink>
      <w:r>
        <w:t xml:space="preserve">) thereby increasing interception efficiency as observed by</w:t>
      </w:r>
      <w:r>
        <w:t xml:space="preserve"> </w:t>
      </w:r>
      <w:r>
        <w:t xml:space="preserve">Katsushima et al. (2023)</w:t>
      </w:r>
      <w:r>
        <w:t xml:space="preserve">. However, the throughfall observations presented here were filtered to exclude periods of canopy snow melt, when higher liquid water content enhances cohesion and adhesion, and liquid water may freeze onto the canopy.</w:t>
      </w:r>
    </w:p>
    <w:p>
      <w:pPr>
        <w:pStyle w:val="BodyText"/>
      </w:pPr>
      <w:r>
        <w:t xml:space="preserve">Initial interception efficiency was found to increase with wind speed at two locations which were sheltered from the predominant wind direction (</w:t>
      </w:r>
      <w:hyperlink w:anchor="fig-scl-ip-bins">
        <w:r>
          <w:rPr>
            <w:rStyle w:val="Hyperlink"/>
          </w:rPr>
          <w:t xml:space="preserve">Figure 5</w:t>
        </w:r>
      </w:hyperlink>
      <w:r>
        <w:t xml:space="preserve">). This is hypothesized to be due to an increase in</w:t>
      </w:r>
      <w:r>
        <w:t xml:space="preserve"> </w:t>
      </w:r>
      <m:oMath>
        <m:sSub>
          <m:e>
            <m:r>
              <m:t>C</m:t>
            </m:r>
          </m:e>
          <m:sub>
            <m:r>
              <m:t>p</m:t>
            </m:r>
          </m:sub>
        </m:sSub>
      </m:oMath>
      <w:r>
        <w:t xml:space="preserve"> </w:t>
      </w:r>
      <w:r>
        <w:t xml:space="preserve">associated with non-vertical hydrometeor trajectories. Further evidence of this processes was provided by a wind-driven snowfall event (</w:t>
      </w:r>
      <w:hyperlink w:anchor="fig-lidar-tf-ip">
        <w:r>
          <w:rPr>
            <w:rStyle w:val="Hyperlink"/>
          </w:rPr>
          <w:t xml:space="preserve">Figure 6</w:t>
        </w:r>
      </w:hyperlink>
      <w:r>
        <w:t xml:space="preserve">) and analysis of lidar canopy density data (</w:t>
      </w:r>
      <w:hyperlink w:anchor="fig-lca-ht-ws">
        <w:r>
          <w:rPr>
            <w:rStyle w:val="Hyperlink"/>
          </w:rPr>
          <w:t xml:space="preserve">Figure 10</w:t>
        </w:r>
      </w:hyperlink>
      <w:r>
        <w:t xml:space="preserve">). These results are also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 </w:t>
      </w:r>
      <w:r>
        <w:t xml:space="preserve">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BodyText"/>
      </w:pPr>
      <w:r>
        <w:t xml:space="preserve">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w:t>
      </w:r>
      <w:hyperlink w:anchor="fig-scl-ip-bins">
        <w:r>
          <w:rPr>
            <w:rStyle w:val="Hyperlink"/>
          </w:rPr>
          <w:t xml:space="preserve">Figure 5</w:t>
        </w:r>
      </w:hyperlink>
      <w:r>
        <w:t xml:space="preserve">).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 However, at the plot-scale</w:t>
      </w:r>
      <w:r>
        <w:t xml:space="preserve"> </w:t>
      </w:r>
      <w:r>
        <w:t xml:space="preserve">Staines &amp; Pomeroy (2023)</w:t>
      </w:r>
      <w:r>
        <w:t xml:space="preserve">, show that these two processes may partially compensate for each other as</w:t>
      </w:r>
      <w:r>
        <w:t xml:space="preserve"> </w:t>
      </w:r>
      <m:oMath>
        <m:sSub>
          <m:e>
            <m:r>
              <m:t>C</m:t>
            </m:r>
          </m:e>
          <m:sub>
            <m:r>
              <m:t>p</m:t>
            </m:r>
          </m:sub>
        </m:sSub>
      </m:oMath>
      <w:r>
        <w:t xml:space="preserve"> </w:t>
      </w:r>
      <w:r>
        <w:t xml:space="preserve">increases for closed canopies, as new snow bridges gaps, but decreases in partially open canopy due to branch bending</w:t>
      </w:r>
      <w:r>
        <w:t xml:space="preserve"> </w:t>
      </w:r>
      <w:r>
        <w:t xml:space="preserve">(i.e., Fig. 2 in Schmidt &amp; Gluns, 1991)</w:t>
      </w:r>
      <w:r>
        <w:t xml:space="preserve">.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which corroborates with the plot-scale observations of</w:t>
      </w:r>
      <w:r>
        <w:t xml:space="preserve"> </w:t>
      </w:r>
      <m:oMath>
        <m:sSub>
          <m:e>
            <m:r>
              <m:t>C</m:t>
            </m:r>
          </m:e>
          <m:sub>
            <m:r>
              <m:t>p</m:t>
            </m:r>
          </m:sub>
        </m:sSub>
      </m:oMath>
      <w:r>
        <w:t xml:space="preserve"> </w:t>
      </w:r>
      <w:r>
        <w:t xml:space="preserve">in this study shown in</w:t>
      </w:r>
      <w:r>
        <w:t xml:space="preserve"> </w:t>
      </w:r>
      <w:hyperlink w:anchor="fig-lca-ht-ws">
        <w:r>
          <w:rPr>
            <w:rStyle w:val="Hyperlink"/>
          </w:rPr>
          <w:t xml:space="preserve">Figure 10</w:t>
        </w:r>
      </w:hyperlink>
      <w:r>
        <w:t xml:space="preserve">. Moreover, additional studies</w:t>
      </w:r>
      <w:r>
        <w:t xml:space="preserve"> </w:t>
      </w:r>
      <w:r>
        <w:t xml:space="preserve">(Calder, 1990; Watanabe &amp; Ozeki, 1964)</w:t>
      </w:r>
      <w:r>
        <w:t xml:space="preserve"> </w:t>
      </w:r>
      <w:r>
        <w:t xml:space="preserve">align with the observations in</w:t>
      </w:r>
      <w:r>
        <w:t xml:space="preserve"> </w:t>
      </w:r>
      <w:hyperlink w:anchor="fig-scl-w-sf">
        <w:r>
          <w:rPr>
            <w:rStyle w:val="Hyperlink"/>
          </w:rPr>
          <w:t xml:space="preserve">Figure 3</w:t>
        </w:r>
      </w:hyperlink>
      <w:r>
        <w:t xml:space="preserve">, which show a relatively linear increase in canopy snow load with increasing snowfall.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 The low sensitivity of interception efficiency with canopy snow load found in this study and others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BodyText"/>
      </w:pPr>
      <w:r>
        <w:t xml:space="preserve">The limited influence of air temperature and canopy snow load on initial interception reported here differs from the theories underpinning existing snow interception parameterizations</w:t>
      </w:r>
      <w:r>
        <w:t xml:space="preserve"> </w:t>
      </w:r>
      <w:r>
        <w:t xml:space="preserve">(Andreadis et al., 2009; Hedstrom &amp; Pomeroy, 1998; Moeser et al., 2015; Satterlund &amp; Haupt, 1967)</w:t>
      </w:r>
      <w:r>
        <w:t xml:space="preserve">. However, the broad range in air temperatures, wind speeds, and canopy snow loads observed provides some confidence in the applicability of these findings to both coastal and continental climate subalpine forests with similar forest species. Still, as the data presented here is limited to a single site over a two-year period, further testing is required to confirm these results. Moreover,</w:t>
      </w:r>
      <w:r>
        <w:t xml:space="preserve"> </w:t>
      </w:r>
      <w:r>
        <w:t xml:space="preserve">Cebulski &amp; Pomeroy (2025)</w:t>
      </w:r>
      <w:r>
        <w:t xml:space="preserve"> </w:t>
      </w:r>
      <w:r>
        <w:t xml:space="preserve">highlights the uncertainty in the extent to that ablation processes are included in common snow interception models. Since canopy snow ablation is strongly related to air temperature and snow load</w:t>
      </w:r>
      <w:r>
        <w:t xml:space="preserve"> </w:t>
      </w:r>
      <w:r>
        <w:t xml:space="preserve">(Ellis et al., 2010; Floyd, 2012; Hedstrom &amp; Pomeroy, 1998; Roesch et al., 2001)</w:t>
      </w:r>
      <w:r>
        <w:t xml:space="preserve"> </w:t>
      </w:r>
      <w:r>
        <w:t xml:space="preserve">some of the previously observed relationships related to these variables may be explained by changes in ablation rather than initial interception. Moreover, since a canopy snow load capacity was not observed in this study, the air temperature dependent canopy snow load capacities included in the</w:t>
      </w:r>
      <w:r>
        <w:t xml:space="preserve"> </w:t>
      </w:r>
      <w:r>
        <w:t xml:space="preserve">Hedstrom &amp; Pomeroy (1998)</w:t>
      </w:r>
      <w:r>
        <w:t xml:space="preserve"> </w:t>
      </w:r>
      <w:r>
        <w:t xml:space="preserve">and</w:t>
      </w:r>
      <w:r>
        <w:t xml:space="preserve"> </w:t>
      </w:r>
      <w:r>
        <w:t xml:space="preserve">Andreadis et al. (2009)</w:t>
      </w:r>
      <w:r>
        <w:t xml:space="preserve"> </w:t>
      </w:r>
      <w:r>
        <w:t xml:space="preserve">models were not applicable. Studies that have identified a relationship between air temperature and/or snow load and interception efficiency</w:t>
      </w:r>
      <w:r>
        <w:t xml:space="preserve"> </w:t>
      </w:r>
      <w:r>
        <w:t xml:space="preserve">(Katsushima et al., 2023; Roth &amp; Nolin, 2019; Schmidt &amp; Gluns, 1991)</w:t>
      </w:r>
      <w:r>
        <w:t xml:space="preserve"> </w:t>
      </w:r>
      <w:r>
        <w:t xml:space="preserve">did not specifically examine initial interception prior to canopy snow ablation, and thus their measurements inherently include ablation processes. The coupling of ablation processes within existing snow interception models may contribute to overestimates of throughfall, canopy snow unloading, and canopy snow melt when combined with other canopy snow ablation parameterizations</w:t>
      </w:r>
      <w:r>
        <w:t xml:space="preserve"> </w:t>
      </w:r>
      <w:r>
        <w:t xml:space="preserve">(Cebulski &amp; Pomeroy, 2025)</w:t>
      </w:r>
      <w:r>
        <w:t xml:space="preserve">.</w:t>
      </w:r>
    </w:p>
    <w:p>
      <w:pPr>
        <w:pStyle w:val="BodyText"/>
      </w:pPr>
      <w:r>
        <w:t xml:space="preserve">To address these issues, a new vector-based snow interception parameterization,</w:t>
      </w:r>
      <w:r>
        <w:t xml:space="preserve"> </w:t>
      </w:r>
      <w:hyperlink w:anchor="eq-lca-ip">
        <w:r>
          <w:rPr>
            <w:rStyle w:val="Hyperlink"/>
          </w:rPr>
          <w:t xml:space="preserve">Equation 9</w:t>
        </w:r>
      </w:hyperlink>
      <w:r>
        <w:t xml:space="preserve">, is presented which calculates initial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 Zhong et al., 2022)</w:t>
      </w:r>
      <w:r>
        <w:t xml:space="preserve">.</w:t>
      </w:r>
      <w:r>
        <w:t xml:space="preserve"> </w:t>
      </w:r>
      <w:hyperlink w:anchor="eq-lca-ip">
        <w:r>
          <w:rPr>
            <w:rStyle w:val="Hyperlink"/>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 Hedstrom &amp; Pomeroy 1998), in that it does not calculate interception efficiency as a function of canopy snow load and from the</w:t>
      </w:r>
      <w:r>
        <w:t xml:space="preserve"> </w:t>
      </w:r>
      <w:r>
        <w:t xml:space="preserve">Storck et al. (2002)</w:t>
      </w:r>
      <w:r>
        <w:t xml:space="preserve"> </w:t>
      </w:r>
      <w:r>
        <w:t xml:space="preserve">parameterization who found interception efficiency to be constant. The theoretical basis for the</w:t>
      </w:r>
      <w:r>
        <w:t xml:space="preserve"> </w:t>
      </w:r>
      <m:oMath>
        <m:r>
          <m:t>α</m:t>
        </m:r>
      </m:oMath>
      <w:r>
        <w:t xml:space="preserve"> </w:t>
      </w:r>
      <w:r>
        <w:t xml:space="preserve">parameter in</w:t>
      </w:r>
      <w:r>
        <w:t xml:space="preserve"> </w:t>
      </w:r>
      <w:hyperlink w:anchor="eq-lca-ip">
        <w:r>
          <w:rPr>
            <w:rStyle w:val="Hyperlink"/>
          </w:rPr>
          <w:t xml:space="preserve">Equation 9</w:t>
        </w:r>
      </w:hyperlink>
      <w:r>
        <w:t xml:space="preserve"> </w:t>
      </w:r>
      <w:r>
        <w:t xml:space="preserve">is that falling snow hydrometeors may bounce off of canopy elements or follow airflow patterns that may wrap around individual trees.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w:t>
      </w:r>
      <w:r>
        <w:t xml:space="preserve"> </w:t>
      </w:r>
      <w:r>
        <w:t xml:space="preserve">Staines &amp; Pomeroy (2023)</w:t>
      </w:r>
      <w:r>
        <w:t xml:space="preserve"> </w:t>
      </w:r>
      <w:r>
        <w:t xml:space="preserve">have also shown that backflows and large eddies that occur within the canopy can also contribute to mixed responses. Moreover, the relationship of</w:t>
      </w:r>
      <w:r>
        <w:t xml:space="preserve"> </w:t>
      </w:r>
      <m:oMath>
        <m:sSub>
          <m:e>
            <m:r>
              <m:t>C</m:t>
            </m:r>
          </m:e>
          <m:sub>
            <m:r>
              <m:t>p</m:t>
            </m:r>
          </m:sub>
        </m:sSub>
      </m:oMath>
      <w:r>
        <w:t xml:space="preserve"> </w:t>
      </w:r>
      <w:r>
        <w:t xml:space="preserve">with air temperature and canopy snow load is expected to vary across varying combinations of climate, canopy structure, species, and ages, requiring further research. For example, certain tree species or ages with very flexible branches may call for the explicit representation of variable</w:t>
      </w:r>
      <w:r>
        <w:t xml:space="preserve"> </w:t>
      </w:r>
      <m:oMath>
        <m:sSub>
          <m:e>
            <m:r>
              <m:t>C</m:t>
            </m:r>
          </m:e>
          <m:sub>
            <m:r>
              <m:t>p</m:t>
            </m:r>
          </m:sub>
        </m:sSub>
      </m:oMath>
      <w:r>
        <w:t xml:space="preserve"> </w:t>
      </w:r>
      <w:r>
        <w:t xml:space="preserve">with canopy snow load. Since</w:t>
      </w:r>
      <w:r>
        <w:t xml:space="preserve"> </w:t>
      </w:r>
      <w:hyperlink w:anchor="eq-lca-ip">
        <w:r>
          <w:rPr>
            <w:rStyle w:val="Hyperlink"/>
          </w:rPr>
          <w:t xml:space="preserve">Equation 9</w:t>
        </w:r>
      </w:hyperlink>
      <w:r>
        <w:t xml:space="preserve"> </w:t>
      </w:r>
      <w:r>
        <w:t xml:space="preserve">intentionally excludes processes attributed to canopy snow ablation that were previously included in earlier snow interception models, these ablation processes must be incorporated in canopy snow ablation parameterizations to fully represent the canopy snow mass balance.</w:t>
      </w:r>
    </w:p>
    <w:p>
      <w:pPr>
        <w:pStyle w:val="BodyText"/>
      </w:pPr>
      <w:r>
        <w:t xml:space="preserve">An existing exponential relationship proposed in</w:t>
      </w:r>
      <w:r>
        <w:t xml:space="preserve"> </w:t>
      </w:r>
      <w:r>
        <w:t xml:space="preserve">Hedstrom &amp; Pomeroy (1998)</w:t>
      </w:r>
      <w:r>
        <w:t xml:space="preserve"> </w:t>
      </w:r>
      <w:r>
        <w:t xml:space="preserve">to scale</w:t>
      </w:r>
      <w:r>
        <w:t xml:space="preserve"> </w:t>
      </w:r>
      <m:oMath>
        <m:sSub>
          <m:e>
            <m:r>
              <m:t>C</m:t>
            </m:r>
          </m:e>
          <m:sub>
            <m:r>
              <m:t>p</m:t>
            </m:r>
          </m:sub>
        </m:sSub>
      </m:oMath>
      <w:r>
        <w:t xml:space="preserve"> </w:t>
      </w:r>
      <w:r>
        <w:t xml:space="preserve">with wind speed failed to reproduce the observations presented in</w:t>
      </w:r>
      <w:r>
        <w:t xml:space="preserve"> </w:t>
      </w:r>
      <w:hyperlink w:anchor="fig-lca-ht-ws">
        <w:r>
          <w:rPr>
            <w:rStyle w:val="Hyperlink"/>
          </w:rPr>
          <w:t xml:space="preserve">Figure 10</w:t>
        </w:r>
      </w:hyperlink>
      <w:r>
        <w:t xml:space="preserve">. Instead, plot-wide</w:t>
      </w:r>
      <w:r>
        <w:t xml:space="preserve"> </w:t>
      </w:r>
      <m:oMath>
        <m:sSub>
          <m:e>
            <m:r>
              <m:t>C</m:t>
            </m:r>
          </m:e>
          <m:sub>
            <m:r>
              <m:t>i</m:t>
            </m:r>
            <m:r>
              <m:t>n</m:t>
            </m:r>
            <m:r>
              <m:t>c</m:t>
            </m:r>
          </m:sub>
        </m:sSub>
      </m:oMath>
      <w:r>
        <w:t xml:space="preserve"> </w:t>
      </w:r>
      <w:r>
        <w:t xml:space="preserve">was found to increase as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w:t>
      </w:r>
      <w:r>
        <w:t xml:space="preserve"> </w:t>
      </w:r>
      <w:hyperlink w:anchor="fig-lca-ht-ws">
        <w:r>
          <w:rPr>
            <w:rStyle w:val="Hyperlink"/>
          </w:rPr>
          <w:t xml:space="preserve">Figure 10</w:t>
        </w:r>
      </w:hyperlink>
      <w:r>
        <w:t xml:space="preserve"> </w:t>
      </w:r>
      <w:r>
        <w:t xml:space="preserve">shows that at the plot scale,</w:t>
      </w:r>
      <w:r>
        <w:t xml:space="preserve"> </w:t>
      </w:r>
      <m:oMath>
        <m:sSub>
          <m:e>
            <m:r>
              <m:t>C</m:t>
            </m:r>
          </m:e>
          <m:sub>
            <m:r>
              <m:t>p</m:t>
            </m:r>
          </m:sub>
        </m:sSub>
      </m:oMath>
      <w:r>
        <w:t xml:space="preserve"> </w:t>
      </w:r>
      <w:r>
        <w:t xml:space="preserve">rises with increasing</w:t>
      </w:r>
      <w:r>
        <w:t xml:space="preserve"> </w:t>
      </w:r>
      <m:oMath>
        <m:sSub>
          <m:e>
            <m:r>
              <m:t>θ</m:t>
            </m:r>
          </m:e>
          <m:sub>
            <m:r>
              <m:t>h</m:t>
            </m:r>
          </m:sub>
        </m:sSub>
      </m:oMath>
      <w:r>
        <w:t xml:space="preserve">, as there is a greater number of grid cells which have more closed canopy at more horizontal angles. However, the large scatter in</w:t>
      </w:r>
      <w:r>
        <w:t xml:space="preserve"> </w:t>
      </w:r>
      <m:oMath>
        <m:sSub>
          <m:e>
            <m:r>
              <m:t>C</m:t>
            </m:r>
          </m:e>
          <m:sub>
            <m:r>
              <m:t>p</m:t>
            </m:r>
          </m:sub>
        </m:sSub>
      </m:oMath>
      <w:r>
        <w:t xml:space="preserve"> </w:t>
      </w:r>
      <w:r>
        <w:t xml:space="preserve">measurements shown in</w:t>
      </w:r>
      <w:r>
        <w:t xml:space="preserve"> </w:t>
      </w:r>
      <w:hyperlink w:anchor="fig-lca-ht-ws">
        <w:r>
          <w:rPr>
            <w:rStyle w:val="Hyperlink"/>
          </w:rPr>
          <w:t xml:space="preserve">Figure 10</w:t>
        </w:r>
      </w:hyperlink>
      <w:r>
        <w:t xml:space="preserve"> </w:t>
      </w:r>
      <w:r>
        <w:t xml:space="preserve">suggests</w:t>
      </w:r>
      <w:r>
        <w:t xml:space="preserve"> </w:t>
      </w:r>
      <w:hyperlink w:anchor="eq-lca-inc">
        <w:r>
          <w:rPr>
            <w:rStyle w:val="Hyperlink"/>
          </w:rPr>
          <w:t xml:space="preserve">Equation 11</w:t>
        </w:r>
      </w:hyperlink>
      <w:r>
        <w:t xml:space="preserve"> </w:t>
      </w:r>
      <w:r>
        <w:t xml:space="preserve">is only applicable at the forest stand scale, or larger, where the sub-metre variability in</w:t>
      </w:r>
      <w:r>
        <w:t xml:space="preserve"> </w:t>
      </w:r>
      <m:oMath>
        <m:sSub>
          <m:e>
            <m:r>
              <m:t>C</m:t>
            </m:r>
          </m:e>
          <m:sub>
            <m:r>
              <m:t>p</m:t>
            </m:r>
          </m:sub>
        </m:sSub>
      </m:oMath>
      <w:r>
        <w:t xml:space="preserve"> </w:t>
      </w:r>
      <w:r>
        <w:t xml:space="preserve">averages out. Still,</w:t>
      </w:r>
      <w:r>
        <w:t xml:space="preserve"> </w:t>
      </w:r>
      <w:hyperlink w:anchor="eq-lca-inc">
        <w:r>
          <w:rPr>
            <w:rStyle w:val="Hyperlink"/>
          </w:rPr>
          <w:t xml:space="preserve">Equation 11</w:t>
        </w:r>
      </w:hyperlink>
      <w:r>
        <w:t xml:space="preserve"> </w:t>
      </w:r>
      <w:r>
        <w:t xml:space="preserve">would not be applicable in areas that have large continuous gap fractions (e.g., large forested clear cuts) that are many times wider than the mean canopy height. Further testing and modification of</w:t>
      </w:r>
      <w:r>
        <w:t xml:space="preserve"> </w:t>
      </w:r>
      <w:hyperlink w:anchor="eq-lca-inc">
        <w:r>
          <w:rPr>
            <w:rStyle w:val="Hyperlink"/>
          </w:rPr>
          <w:t xml:space="preserve">Equation 11</w:t>
        </w:r>
      </w:hyperlink>
      <w:r>
        <w:t xml:space="preserve"> </w:t>
      </w:r>
      <w:r>
        <w:t xml:space="preserve">is also needed in a wide range of forest species, ages, densities, and structures.</w:t>
      </w:r>
    </w:p>
    <w:p>
      <w:pPr>
        <w:pStyle w:val="BodyText"/>
      </w:pPr>
      <w:r>
        <w:t xml:space="preserve">It was found that the mean event hydrometeor trajectory angle, required for</w:t>
      </w:r>
      <w:r>
        <w:t xml:space="preserve"> </w:t>
      </w:r>
      <w:hyperlink w:anchor="eq-lca-inc">
        <w:r>
          <w:rPr>
            <w:rStyle w:val="Hyperlink"/>
          </w:rPr>
          <w:t xml:space="preserve">Equation 11</w:t>
        </w:r>
      </w:hyperlink>
      <w:r>
        <w:t xml:space="preserve">, could be approximated from</w:t>
      </w:r>
      <w:r>
        <w:t xml:space="preserve"> </w:t>
      </w:r>
      <w:hyperlink w:anchor="eq-ta">
        <w:r>
          <w:rPr>
            <w:rStyle w:val="Hyperlink"/>
          </w:rPr>
          <w:t xml:space="preserve">Equation 4</w:t>
        </w:r>
      </w:hyperlink>
      <w:r>
        <w:t xml:space="preserve"> </w:t>
      </w:r>
      <w:r>
        <w:t xml:space="preserve">using the observed mean hydrometeor fall velocity and the mean horizontal wind speed selected at one-third of the canopy height above the ground. A wind speed at one-third the mean canopy height is hypothesized to be important for canopy snow accumulation as a large fraction of the horizontal cross-sectional area is at this height for most needleleaf canopies. This is consistent with</w:t>
      </w:r>
      <w:r>
        <w:t xml:space="preserve"> </w:t>
      </w:r>
      <w:r>
        <w:t xml:space="preserve">Katsushima et al. (2023)</w:t>
      </w:r>
      <w:r>
        <w:t xml:space="preserve">, who also proposed using a wind speed at one-third the canopy height for modelling unloading of canopy snow. However, there is uncertainty in the transferability of the canopy height observed here to other environments due to differing forest structures and tree species. This may include forests with a larger trunk space or have more of their canopy contact area at higher heights above the ground (e.g., some deciduous canopies). Moreover,</w:t>
      </w:r>
      <w:r>
        <w:t xml:space="preserve"> </w:t>
      </w:r>
      <w:hyperlink w:anchor="eq-ta">
        <w:r>
          <w:rPr>
            <w:rStyle w:val="Hyperlink"/>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p>
    <w:p>
      <w:pPr>
        <w:pStyle w:val="BodyText"/>
      </w:pPr>
      <w:r>
        <w:t xml:space="preserve">Although the improvement of the vector-based model over the nadir model was relatively small, the vector-based model is preferred due to its overall lower error compared to the UAV-lidar measurements and better representation of physical processes. The vector-based model has been developed and tested based at the forest plot scale (hectares) and is therefore currently suitable for application in hydrological models at this scale that are discretized by forest density. Still, the relationship between snow interception and snow-leaf contact area is expected to be applicable at larger scales. However, measurement of forest density at larger extents are generally more uncertain, and may be more likely to lump together large forested ares with forested areas in individual grid cells where</w:t>
      </w:r>
      <w:r>
        <w:t xml:space="preserve"> </w:t>
      </w:r>
      <w:r>
        <w:rPr>
          <w:b/>
          <w:bCs/>
        </w:rPr>
        <w:t xml:space="preserve">?@eq-lca-ta</w:t>
      </w:r>
      <w:r>
        <w:t xml:space="preserve"> </w:t>
      </w:r>
      <w:r>
        <w:t xml:space="preserve">would not be applicable. Therefore, at these large extents, simulating forested and open areas separately as in some land-surface schemes</w:t>
      </w:r>
      <w:r>
        <w:t xml:space="preserve"> </w:t>
      </w:r>
      <w:r>
        <w:t xml:space="preserve">(e.g., Verseghy, 2017)</w:t>
      </w:r>
      <w:r>
        <w:t xml:space="preserve">, and assigning a constant</w:t>
      </w:r>
      <w:r>
        <w:t xml:space="preserve"> </w:t>
      </w:r>
      <m:oMath>
        <m:sSub>
          <m:e>
            <m:r>
              <m:t>C</m:t>
            </m:r>
          </m:e>
          <m:sub>
            <m:r>
              <m:t>p</m:t>
            </m:r>
          </m:sub>
        </m:sSub>
      </m:oMath>
      <w:r>
        <w:t xml:space="preserve"> </w:t>
      </w:r>
      <w:r>
        <w:t xml:space="preserve">of 1.0 for forest areas could be a suitable approach to apply this approach at coarse resolutions. Previous models were developed based on process understanding at varying scales:</w:t>
      </w:r>
      <w:r>
        <w:t xml:space="preserve"> </w:t>
      </w:r>
      <w:r>
        <w:t xml:space="preserve">Hedstrom &amp; Pomeroy (1998)</w:t>
      </w:r>
      <w:r>
        <w:t xml:space="preserve"> </w:t>
      </w:r>
      <w:r>
        <w:t xml:space="preserve">used snow survey transects at the forest plot scale with observations at intervals ranging from days to weeks, while</w:t>
      </w:r>
      <w:r>
        <w:t xml:space="preserve"> </w:t>
      </w:r>
      <w:r>
        <w:t xml:space="preserve">Storck et al. (2002)</w:t>
      </w:r>
      <w:r>
        <w:t xml:space="preserve"> </w:t>
      </w:r>
      <w:r>
        <w:t xml:space="preserve">relied on point-scale lysimetry observations at 30-minute intervals. Recent evidence from</w:t>
      </w:r>
      <w:r>
        <w:t xml:space="preserve"> </w:t>
      </w:r>
      <w:r>
        <w:t xml:space="preserve">Staines &amp; Pomeroy (2023)</w:t>
      </w:r>
      <w:r>
        <w:t xml:space="preserve"> </w:t>
      </w:r>
      <w:r>
        <w:t xml:space="preserve">and the results presented here suggest that some of the process understanding developed in previous studies may not be applicable at larger scales or finer spatial and temporal resolutions. Moreover, the theoretical underpinnings of the vector-based model aligns with rainfall interception models that have been tested at coarse resolutions globally</w:t>
      </w:r>
      <w:r>
        <w:t xml:space="preserve"> </w:t>
      </w:r>
      <w:r>
        <w:t xml:space="preserve">(e.g., 0.1° in Zhong et al., 2022)</w:t>
      </w:r>
      <w:r>
        <w:t xml:space="preserve">, providing some support for the applicability of this new model across larger areas. While the process understanding presented here may be suitable for application at larger extents and finer temporal resolutions, further testing is required to validate this hypothesis.</w:t>
      </w:r>
    </w:p>
    <w:bookmarkEnd w:id="102"/>
    <w:bookmarkStart w:id="103" w:name="conclusions"/>
    <w:p>
      <w:pPr>
        <w:pStyle w:val="Heading1"/>
      </w:pPr>
      <w:r>
        <w:t xml:space="preserve">6. Conclusions</w:t>
      </w:r>
    </w:p>
    <w:p>
      <w:pPr>
        <w:pStyle w:val="FirstParagraph"/>
      </w:pPr>
      <w:r>
        <w:t xml:space="preserve">New observations of initial snow interception, collected over a wide range of meteorological conditions and canopy densities indicate that canopy structure and density is the primary factor influencing subcanopy snow accumulation. At the point scale, measurements revealed no evidence of a maximum canopy snow load, even for event snowfalls up to 45 mm with minimal ablation, nor was there any indication of air temperature influencing the cohesion and adhesion of snowfall to the canopy or branch bending reducing canopy cover. Instead, wind speed was found to influence interception efficiency by changing the hydrometeor trajectory angle, which lead to a substantial increase in snow-leaf contact area.</w:t>
      </w:r>
    </w:p>
    <w:p>
      <w:pPr>
        <w:pStyle w:val="BodyText"/>
      </w:pPr>
      <w:r>
        <w:t xml:space="preserve">At the forest plot scale, UAV-lidar measurements of throughfall aligned with the point-scale observations demonstrating that leaf contact area was strongly associated with interception efficiency at a particular site. Leaf contact area, which incorporates changes in canopy density with hydrometeor trajectory angle, proved to be a better predictor of interception efficiency compared to nadir-calculated canopy cover. When averaged across each forest plot, leaf contact area was shown to be highly sensitive to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VoxRS-measured increase in leaf contact area with simulated trajectory angles. As a result, a new relationship is proposed as a function of canopy cover and hydrometeor trajectory angle (approximated from wind speed), which demonstrated good performance at this study site.</w:t>
      </w:r>
    </w:p>
    <w:p>
      <w:pPr>
        <w:pStyle w:val="BodyText"/>
      </w:pPr>
      <w:r>
        <w:t xml:space="preserve">The weak association between air temperature and canopy snow load with interception efficiency, as presented here, coupled with the influence of wind speed on leaf contact area, highlights the need for a new snow interception parameterization. A new parameterization is proposed that calculates initial interception as a function of snowfall and leaf contact area. This parameterization is consistent with rainfall interception studies, which also separate canopy loading and ablation processes, and calculate interception as a function of canopy cover. Additionally, a second equation is proposed to estimate leaf contact area as a function of hydrometeor trajectory angle and nadir canopy cover. This updated snow interception parameterization performed well in the subalpine forest studied here at the forest plot scale. However, further validation is necessary in a range of climates, forests, and spatial extents.</w:t>
      </w:r>
    </w:p>
    <w:bookmarkEnd w:id="103"/>
    <w:bookmarkStart w:id="104" w:name="acknowledgments"/>
    <w:p>
      <w:pPr>
        <w:pStyle w:val="Heading1"/>
      </w:pPr>
      <w:r>
        <w:t xml:space="preserve">7. Acknowledgments</w:t>
      </w:r>
    </w:p>
    <w:p>
      <w:pPr>
        <w:pStyle w:val="FirstParagraph"/>
      </w:pPr>
      <w:r>
        <w:t xml:space="preserve">We wish to acknowledge financial support from the University of Saskatchewan Dean’s Scholarship, Natural Sciences and Engineering Research Council of Canada, Global Water Futures Programme, Environment and Climate Change Canada, Alberta Innovates, Canada Foundation for Innovation, and the Canada Research Chairs Programme. We thank Madison Harasyn, Hannah Koslowsky, Kieran Lehan, Lindsey Langs and Fortress Mountain Resort for their help in the field. Jacob Staines, Madison Harasyn, Alistair Wallace, and Rob White contributed to developing the UAV-lidar processing workflow.</w:t>
      </w:r>
    </w:p>
    <w:bookmarkEnd w:id="104"/>
    <w:bookmarkStart w:id="105" w:name="data-availability"/>
    <w:p>
      <w:pPr>
        <w:pStyle w:val="Heading1"/>
      </w:pPr>
      <w:r>
        <w:t xml:space="preserve">8. Data Availability</w:t>
      </w:r>
    </w:p>
    <w:p>
      <w:pPr>
        <w:pStyle w:val="FirstParagraph"/>
      </w:pPr>
      <w:r>
        <w:t xml:space="preserve">The data that support the findings in this study are available at https://doi.org/10.5281/zenodo.14018893.</w:t>
      </w:r>
    </w:p>
    <w:p>
      <w:r>
        <w:br w:type="page"/>
      </w:r>
    </w:p>
    <w:bookmarkEnd w:id="105"/>
    <w:bookmarkStart w:id="207" w:name="references"/>
    <w:p>
      <w:pPr>
        <w:pStyle w:val="Heading1"/>
      </w:pPr>
      <w:r>
        <w:t xml:space="preserve">9. References</w:t>
      </w:r>
    </w:p>
    <w:bookmarkStart w:id="206" w:name="refs"/>
    <w:bookmarkStart w:id="107" w:name="ref-Andreadis2009"/>
    <w:p>
      <w:pPr>
        <w:pStyle w:val="Bibliography"/>
      </w:pPr>
      <w:r>
        <w:t xml:space="preserve">Andreadis, K. M., Storck, P., &amp; Lettenmaier, D. P. (2009). Modeling snow accumulation and ablation processes in forested environments.</w:t>
      </w:r>
      <w:r>
        <w:t xml:space="preserve"> </w:t>
      </w:r>
      <w:r>
        <w:rPr>
          <w:i/>
          <w:iCs/>
        </w:rPr>
        <w:t xml:space="preserve">Water Resources Research</w:t>
      </w:r>
      <w:r>
        <w:t xml:space="preserve">,</w:t>
      </w:r>
      <w:r>
        <w:t xml:space="preserve"> </w:t>
      </w:r>
      <w:r>
        <w:rPr>
          <w:i/>
          <w:iCs/>
        </w:rPr>
        <w:t xml:space="preserve">45</w:t>
      </w:r>
      <w:r>
        <w:t xml:space="preserve">(5), 1–33.</w:t>
      </w:r>
      <w:r>
        <w:t xml:space="preserve"> </w:t>
      </w:r>
      <w:hyperlink r:id="rId106">
        <w:r>
          <w:rPr>
            <w:rStyle w:val="Hyperlink"/>
          </w:rPr>
          <w:t xml:space="preserve">https://doi.org/10.1029/2008WR007042</w:t>
        </w:r>
      </w:hyperlink>
    </w:p>
    <w:bookmarkEnd w:id="107"/>
    <w:bookmarkStart w:id="108" w:name="ref-Calder1990"/>
    <w:p>
      <w:pPr>
        <w:pStyle w:val="Bibliography"/>
      </w:pPr>
      <w:r>
        <w:t xml:space="preserve">Calder, I. R. (1990).</w:t>
      </w:r>
      <w:r>
        <w:t xml:space="preserve"> </w:t>
      </w:r>
      <w:r>
        <w:rPr>
          <w:i/>
          <w:iCs/>
        </w:rPr>
        <w:t xml:space="preserve">Evaporation in the uplands</w:t>
      </w:r>
      <w:r>
        <w:t xml:space="preserve"> </w:t>
      </w:r>
      <w:r>
        <w:t xml:space="preserve">(p. 148). Wiley.</w:t>
      </w:r>
    </w:p>
    <w:bookmarkEnd w:id="108"/>
    <w:bookmarkStart w:id="110" w:name="ref-Cebulski2025"/>
    <w:p>
      <w:pPr>
        <w:pStyle w:val="Bibliography"/>
      </w:pPr>
      <w:r>
        <w:t xml:space="preserve">Cebulski, A. C., &amp; Pomeroy, J. W. (2025). Theoretical</w:t>
      </w:r>
      <w:r>
        <w:t xml:space="preserve"> </w:t>
      </w:r>
      <w:r>
        <w:t xml:space="preserve">Underpinnings</w:t>
      </w:r>
      <w:r>
        <w:t xml:space="preserve"> </w:t>
      </w:r>
      <w:r>
        <w:t xml:space="preserve">of</w:t>
      </w:r>
      <w:r>
        <w:t xml:space="preserve"> </w:t>
      </w:r>
      <w:r>
        <w:t xml:space="preserve">Snow Interception</w:t>
      </w:r>
      <w:r>
        <w:t xml:space="preserve"> </w:t>
      </w:r>
      <w:r>
        <w:t xml:space="preserve">and</w:t>
      </w:r>
      <w:r>
        <w:t xml:space="preserve"> </w:t>
      </w:r>
      <w:r>
        <w:t xml:space="preserve">Canopy Snow Ablation Parameterisations</w:t>
      </w:r>
      <w:r>
        <w:t xml:space="preserve">.</w:t>
      </w:r>
      <w:r>
        <w:t xml:space="preserve"> </w:t>
      </w:r>
      <w:r>
        <w:rPr>
          <w:i/>
          <w:iCs/>
        </w:rPr>
        <w:t xml:space="preserve">WIREs Water</w:t>
      </w:r>
      <w:r>
        <w:t xml:space="preserve">,</w:t>
      </w:r>
      <w:r>
        <w:t xml:space="preserve"> </w:t>
      </w:r>
      <w:r>
        <w:rPr>
          <w:i/>
          <w:iCs/>
        </w:rPr>
        <w:t xml:space="preserve">12</w:t>
      </w:r>
      <w:r>
        <w:t xml:space="preserve">(e70010).</w:t>
      </w:r>
      <w:r>
        <w:t xml:space="preserve"> </w:t>
      </w:r>
      <w:hyperlink r:id="rId109">
        <w:r>
          <w:rPr>
            <w:rStyle w:val="Hyperlink"/>
          </w:rPr>
          <w:t xml:space="preserve">https://doi.org/10.1002/wat2.70010</w:t>
        </w:r>
      </w:hyperlink>
    </w:p>
    <w:bookmarkEnd w:id="110"/>
    <w:bookmarkStart w:id="111" w:name="ref-Chianucci2023"/>
    <w:p>
      <w:pPr>
        <w:pStyle w:val="Bibliography"/>
      </w:pPr>
      <w:r>
        <w:t xml:space="preserve">Chianucci, F., &amp; Macek, M. (2023).</w:t>
      </w:r>
      <w:r>
        <w:t xml:space="preserve"> </w:t>
      </w:r>
      <w:r>
        <w:t xml:space="preserve">hemispheR</w:t>
      </w:r>
      <w:r>
        <w:t xml:space="preserve">: An</w:t>
      </w:r>
      <w:r>
        <w:t xml:space="preserve"> </w:t>
      </w:r>
      <w:r>
        <w:t xml:space="preserve">R</w:t>
      </w:r>
      <w:r>
        <w:t xml:space="preserve"> </w:t>
      </w:r>
      <w:r>
        <w:t xml:space="preserve">package for fisheye canopy image analysis.</w:t>
      </w:r>
      <w:r>
        <w:t xml:space="preserve"> </w:t>
      </w:r>
      <w:r>
        <w:rPr>
          <w:i/>
          <w:iCs/>
        </w:rPr>
        <w:t xml:space="preserve">Agricultural and Forest Meteorology</w:t>
      </w:r>
      <w:r>
        <w:t xml:space="preserve">.</w:t>
      </w:r>
    </w:p>
    <w:bookmarkEnd w:id="111"/>
    <w:bookmarkStart w:id="113" w:name="ref-Cionco1965"/>
    <w:p>
      <w:pPr>
        <w:pStyle w:val="Bibliography"/>
      </w:pPr>
      <w:r>
        <w:t xml:space="preserve">Cionco, R. M. (1965). A mathematical model for air flow in a vegetative canopy.</w:t>
      </w:r>
      <w:r>
        <w:t xml:space="preserve"> </w:t>
      </w:r>
      <w:r>
        <w:rPr>
          <w:i/>
          <w:iCs/>
        </w:rPr>
        <w:t xml:space="preserve">Journal of Applied Meteorology (1962)</w:t>
      </w:r>
      <w:r>
        <w:t xml:space="preserve">,</w:t>
      </w:r>
      <w:r>
        <w:t xml:space="preserve"> </w:t>
      </w:r>
      <w:r>
        <w:rPr>
          <w:i/>
          <w:iCs/>
        </w:rPr>
        <w:t xml:space="preserve">4</w:t>
      </w:r>
      <w:r>
        <w:t xml:space="preserve">(4), 517–522.</w:t>
      </w:r>
      <w:r>
        <w:t xml:space="preserve"> </w:t>
      </w:r>
      <w:hyperlink r:id="rId112">
        <w:r>
          <w:rPr>
            <w:rStyle w:val="Hyperlink"/>
          </w:rPr>
          <w:t xml:space="preserve">https://doi.org/10.1175/1520-0450(1965)004&lt;0517:AMMFAF&gt;2.0.CO;2</w:t>
        </w:r>
      </w:hyperlink>
    </w:p>
    <w:bookmarkEnd w:id="113"/>
    <w:bookmarkStart w:id="115" w:name="ref-Ellis2010"/>
    <w:p>
      <w:pPr>
        <w:pStyle w:val="Bibliography"/>
      </w:pPr>
      <w:r>
        <w:t xml:space="preserve">Ellis, C. R., Pomeroy, J. W., Brown, T., &amp; MacDonald, J. (2010). Simulation of snow accumulation and melt in needleleaf forest environments.</w:t>
      </w:r>
      <w:r>
        <w:t xml:space="preserve"> </w:t>
      </w:r>
      <w:r>
        <w:rPr>
          <w:i/>
          <w:iCs/>
        </w:rPr>
        <w:t xml:space="preserve">Hydrology and Earth System Sciences</w:t>
      </w:r>
      <w:r>
        <w:t xml:space="preserve">,</w:t>
      </w:r>
      <w:r>
        <w:t xml:space="preserve"> </w:t>
      </w:r>
      <w:r>
        <w:rPr>
          <w:i/>
          <w:iCs/>
        </w:rPr>
        <w:t xml:space="preserve">14</w:t>
      </w:r>
      <w:r>
        <w:t xml:space="preserve">(6), 925–940.</w:t>
      </w:r>
      <w:r>
        <w:t xml:space="preserve"> </w:t>
      </w:r>
      <w:hyperlink r:id="rId114">
        <w:r>
          <w:rPr>
            <w:rStyle w:val="Hyperlink"/>
          </w:rPr>
          <w:t xml:space="preserve">https://doi.org/10.5194/hess-14-925-2010</w:t>
        </w:r>
      </w:hyperlink>
    </w:p>
    <w:bookmarkEnd w:id="115"/>
    <w:bookmarkStart w:id="117" w:name="ref-Ellis2013"/>
    <w:p>
      <w:pPr>
        <w:pStyle w:val="Bibliography"/>
      </w:pPr>
      <w:r>
        <w:t xml:space="preserve">Ellis, C. R., Pomeroy, J. W., &amp; Link, T. E. (2013). Modeling increases in snowmelt yield and desynchronization resulting from forest gap-thinning treatments in a northern mountain headwater basin.</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16">
        <w:r>
          <w:rPr>
            <w:rStyle w:val="Hyperlink"/>
          </w:rPr>
          <w:t xml:space="preserve">https://doi.org/10.1002/wrcr.20089</w:t>
        </w:r>
      </w:hyperlink>
    </w:p>
    <w:bookmarkEnd w:id="117"/>
    <w:bookmarkStart w:id="119" w:name="ref-Essery2003"/>
    <w:p>
      <w:pPr>
        <w:pStyle w:val="Bibliography"/>
      </w:pPr>
      <w:r>
        <w:t xml:space="preserve">Essery, R., Pomeroy, J. W., Parviainen, J., &amp; Storck, P. (2003). Sublimation of snow from coniferous forests in a climate model.</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18">
        <w:r>
          <w:rPr>
            <w:rStyle w:val="Hyperlink"/>
          </w:rPr>
          <w:t xml:space="preserve">https://doi.org/10.1175/1520-0442(2003)016&lt;1855:SOSFCF&gt;2.0.CO;2</w:t>
        </w:r>
      </w:hyperlink>
    </w:p>
    <w:bookmarkEnd w:id="119"/>
    <w:bookmarkStart w:id="121" w:name="ref-Floyd2012"/>
    <w:p>
      <w:pPr>
        <w:pStyle w:val="Bibliography"/>
      </w:pPr>
      <w:r>
        <w:t xml:space="preserve">Floyd, W. C. (2012).</w:t>
      </w:r>
      <w:r>
        <w:t xml:space="preserve"> </w:t>
      </w:r>
      <w:r>
        <w:rPr>
          <w:i/>
          <w:iCs/>
        </w:rPr>
        <w:t xml:space="preserve">Snowmelt energy flux recovery during rain-on-snow in regenerating forests</w:t>
      </w:r>
      <w:r>
        <w:t xml:space="preserve"> </w:t>
      </w:r>
      <w:r>
        <w:t xml:space="preserve">(p. 180) [PhD thesis, University of British Columbia]. https://doi.org/</w:t>
      </w:r>
      <w:hyperlink r:id="rId120">
        <w:r>
          <w:rPr>
            <w:rStyle w:val="Hyperlink"/>
          </w:rPr>
          <w:t xml:space="preserve">https://dx.doi.org/10.14288/1.0073024</w:t>
        </w:r>
      </w:hyperlink>
    </w:p>
    <w:bookmarkEnd w:id="121"/>
    <w:bookmarkStart w:id="123" w:name="ref-Fryer1988"/>
    <w:p>
      <w:pPr>
        <w:pStyle w:val="Bibliography"/>
      </w:pPr>
      <w:r>
        <w:t xml:space="preserve">Fryer, B. Y. G. I., Johnson, E. A., Fryer, G. I., &amp; Johnson, E. A. (1988). Reconstructing fire behaviour and effects in a subalpine forest.</w:t>
      </w:r>
      <w:r>
        <w:t xml:space="preserve"> </w:t>
      </w:r>
      <w:r>
        <w:rPr>
          <w:i/>
          <w:iCs/>
        </w:rPr>
        <w:t xml:space="preserve">The Journal of Applied Ecology</w:t>
      </w:r>
      <w:r>
        <w:t xml:space="preserve">,</w:t>
      </w:r>
      <w:r>
        <w:t xml:space="preserve"> </w:t>
      </w:r>
      <w:r>
        <w:rPr>
          <w:i/>
          <w:iCs/>
        </w:rPr>
        <w:t xml:space="preserve">25</w:t>
      </w:r>
      <w:r>
        <w:t xml:space="preserve">(3), 1063–1072.</w:t>
      </w:r>
      <w:r>
        <w:t xml:space="preserve"> </w:t>
      </w:r>
      <w:hyperlink r:id="rId122">
        <w:r>
          <w:rPr>
            <w:rStyle w:val="Hyperlink"/>
          </w:rPr>
          <w:t xml:space="preserve">https://doi.org/10.2307/2403766</w:t>
        </w:r>
      </w:hyperlink>
    </w:p>
    <w:bookmarkEnd w:id="123"/>
    <w:bookmarkStart w:id="125" w:name="ref-Gelfan2004"/>
    <w:p>
      <w:pPr>
        <w:pStyle w:val="Bibliography"/>
      </w:pPr>
      <w:r>
        <w:t xml:space="preserve">Gelfan, A. N., Pomeroy, J. W., &amp; Kuchment, L. S. (2004). Modeling forest cover influences on snow accumulation, sublimation, and melt.</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24">
        <w:r>
          <w:rPr>
            <w:rStyle w:val="Hyperlink"/>
          </w:rPr>
          <w:t xml:space="preserve">https://doi.org/10.1175/1525-7541(2004)005&lt;0785:MFCIOS&gt;2.0.CO;2</w:t>
        </w:r>
      </w:hyperlink>
    </w:p>
    <w:bookmarkEnd w:id="125"/>
    <w:bookmarkStart w:id="127" w:name="ref-Golding1978"/>
    <w:p>
      <w:pPr>
        <w:pStyle w:val="Bibliography"/>
      </w:pPr>
      <w:r>
        <w:t xml:space="preserve">Golding, D. L., &amp; Swanson, R. H. (1978). Snow accumulation and melt in small forest openings in</w:t>
      </w:r>
      <w:r>
        <w:t xml:space="preserve"> </w:t>
      </w:r>
      <w:r>
        <w:t xml:space="preserve">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w:t>
      </w:r>
      <w:r>
        <w:t xml:space="preserve"> </w:t>
      </w:r>
      <w:hyperlink r:id="rId126">
        <w:r>
          <w:rPr>
            <w:rStyle w:val="Hyperlink"/>
          </w:rPr>
          <w:t xml:space="preserve">https://doi.org/10.1139/x78-057</w:t>
        </w:r>
      </w:hyperlink>
    </w:p>
    <w:bookmarkEnd w:id="127"/>
    <w:bookmarkStart w:id="129" w:name="ref-Harder2013"/>
    <w:p>
      <w:pPr>
        <w:pStyle w:val="Bibliography"/>
      </w:pPr>
      <w:r>
        <w:t xml:space="preserve">Harder, P., &amp; Pomeroy, J. W. (2013). Estimating precipitation phase using a psychrometric energy balance method.</w:t>
      </w:r>
      <w:r>
        <w:t xml:space="preserve"> </w:t>
      </w:r>
      <w:r>
        <w:rPr>
          <w:i/>
          <w:iCs/>
        </w:rPr>
        <w:t xml:space="preserve">Hydrological Processes</w:t>
      </w:r>
      <w:r>
        <w:t xml:space="preserve">,</w:t>
      </w:r>
      <w:r>
        <w:t xml:space="preserve"> </w:t>
      </w:r>
      <w:r>
        <w:rPr>
          <w:i/>
          <w:iCs/>
        </w:rPr>
        <w:t xml:space="preserve">27</w:t>
      </w:r>
      <w:r>
        <w:t xml:space="preserve">(13), 1901–1914.</w:t>
      </w:r>
      <w:r>
        <w:t xml:space="preserve"> </w:t>
      </w:r>
      <w:hyperlink r:id="rId128">
        <w:r>
          <w:rPr>
            <w:rStyle w:val="Hyperlink"/>
          </w:rPr>
          <w:t xml:space="preserve">https://doi.org/10.1002/hyp.9799</w:t>
        </w:r>
      </w:hyperlink>
    </w:p>
    <w:bookmarkEnd w:id="129"/>
    <w:bookmarkStart w:id="131" w:name="ref-Harder2020"/>
    <w:p>
      <w:pPr>
        <w:pStyle w:val="Bibliography"/>
      </w:pPr>
      <w:r>
        <w:t xml:space="preserve">Harder, P., Pomeroy, J. W., &amp; Helgason, W. D. (2020). Improving sub-canopy snow depth mapping with unmanned aerial vehicles:</w:t>
      </w:r>
      <w:r>
        <w:t xml:space="preserve"> </w:t>
      </w:r>
      <w:r>
        <w:t xml:space="preserve">Lidar</w:t>
      </w:r>
      <w:r>
        <w:t xml:space="preserve"> </w:t>
      </w:r>
      <w:r>
        <w:t xml:space="preserve">versus structure-from-motion techniques.</w:t>
      </w:r>
      <w:r>
        <w:t xml:space="preserve"> </w:t>
      </w:r>
      <w:r>
        <w:rPr>
          <w:i/>
          <w:iCs/>
        </w:rPr>
        <w:t xml:space="preserve">The Cryosphere</w:t>
      </w:r>
      <w:r>
        <w:t xml:space="preserve">,</w:t>
      </w:r>
      <w:r>
        <w:t xml:space="preserve"> </w:t>
      </w:r>
      <w:r>
        <w:rPr>
          <w:i/>
          <w:iCs/>
        </w:rPr>
        <w:t xml:space="preserve">14</w:t>
      </w:r>
      <w:r>
        <w:t xml:space="preserve">(6), 1919–1935.</w:t>
      </w:r>
      <w:r>
        <w:t xml:space="preserve"> </w:t>
      </w:r>
      <w:hyperlink r:id="rId130">
        <w:r>
          <w:rPr>
            <w:rStyle w:val="Hyperlink"/>
          </w:rPr>
          <w:t xml:space="preserve">https://doi.org/10.5194/tc-14-1919-2020</w:t>
        </w:r>
      </w:hyperlink>
    </w:p>
    <w:bookmarkEnd w:id="131"/>
    <w:bookmarkStart w:id="133" w:name="ref-Harpold2020"/>
    <w:p>
      <w:pPr>
        <w:pStyle w:val="Bibliography"/>
      </w:pPr>
      <w:r>
        <w:t xml:space="preserve">Harpold, A. A., Krogh, S. A., Kohler, M., Eckberg, D., Greenberg, J., Sterle, G., &amp; Broxton, P. D. (2020). Increasing the efficacy of forest thinning for snow using high-resolution modeling:</w:t>
      </w:r>
      <w:r>
        <w:t xml:space="preserve"> </w:t>
      </w:r>
      <w:r>
        <w:t xml:space="preserve">A</w:t>
      </w:r>
      <w:r>
        <w:t xml:space="preserve"> </w:t>
      </w:r>
      <w:r>
        <w:t xml:space="preserve">proof of concept in the</w:t>
      </w:r>
      <w:r>
        <w:t xml:space="preserve"> </w:t>
      </w:r>
      <w:r>
        <w:t xml:space="preserve">Lake Tahoe Basin</w:t>
      </w:r>
      <w:r>
        <w:t xml:space="preserve">,</w:t>
      </w:r>
      <w:r>
        <w:t xml:space="preserve"> </w:t>
      </w:r>
      <w:r>
        <w:t xml:space="preserve">California</w:t>
      </w:r>
      <w:r>
        <w:t xml:space="preserve">,</w:t>
      </w:r>
      <w:r>
        <w:t xml:space="preserve"> </w:t>
      </w:r>
      <w:r>
        <w:t xml:space="preserve">USA</w:t>
      </w:r>
      <w:r>
        <w:t xml:space="preserve">.</w:t>
      </w:r>
      <w:r>
        <w:t xml:space="preserve"> </w:t>
      </w:r>
      <w:r>
        <w:rPr>
          <w:i/>
          <w:iCs/>
        </w:rPr>
        <w:t xml:space="preserve">Ecohydrology : Ecosystems, Land and Water Process Interactions, Ecohydrogeomorphology</w:t>
      </w:r>
      <w:r>
        <w:t xml:space="preserve">,</w:t>
      </w:r>
      <w:r>
        <w:t xml:space="preserve"> </w:t>
      </w:r>
      <w:r>
        <w:rPr>
          <w:i/>
          <w:iCs/>
        </w:rPr>
        <w:t xml:space="preserve">13</w:t>
      </w:r>
      <w:r>
        <w:t xml:space="preserve">(4).</w:t>
      </w:r>
      <w:r>
        <w:t xml:space="preserve"> </w:t>
      </w:r>
      <w:hyperlink r:id="rId132">
        <w:r>
          <w:rPr>
            <w:rStyle w:val="Hyperlink"/>
          </w:rPr>
          <w:t xml:space="preserve">https://doi.org/10.1002/eco.2203</w:t>
        </w:r>
      </w:hyperlink>
    </w:p>
    <w:bookmarkEnd w:id="133"/>
    <w:bookmarkStart w:id="135" w:name="ref-Hedstrom1998"/>
    <w:p>
      <w:pPr>
        <w:pStyle w:val="Bibliography"/>
      </w:pPr>
      <w:r>
        <w:t xml:space="preserve">Hedstrom, N. R., &amp; Pomeroy, J. W. (1998). Measurements and modelling of snow interception in the boreal forest.</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34">
        <w:r>
          <w:rPr>
            <w:rStyle w:val="Hyperlink"/>
          </w:rPr>
          <w:t xml:space="preserve">https://doi.org/10.1002/(SICI)1099-1085(199808/09)12:10/11&lt;1611::AID-HYP684&gt;3.0.CO;2-4</w:t>
        </w:r>
      </w:hyperlink>
    </w:p>
    <w:bookmarkEnd w:id="135"/>
    <w:bookmarkStart w:id="137" w:name="ref-Herwitz1995"/>
    <w:p>
      <w:pPr>
        <w:pStyle w:val="Bibliography"/>
      </w:pPr>
      <w:r>
        <w:t xml:space="preserve">Herwitz, S. R., &amp; Slye, R. E. (1995). Three-dimensional modeling of canopy tree interception of wind-driven rainfall.</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36">
        <w:r>
          <w:rPr>
            <w:rStyle w:val="Hyperlink"/>
          </w:rPr>
          <w:t xml:space="preserve">https://doi.org/10.1016/0022-1694(94)02643-P</w:t>
        </w:r>
      </w:hyperlink>
    </w:p>
    <w:bookmarkEnd w:id="137"/>
    <w:bookmarkStart w:id="138" w:name="ref-Isyumov1971"/>
    <w:p>
      <w:pPr>
        <w:pStyle w:val="Bibliography"/>
      </w:pPr>
      <w:r>
        <w:t xml:space="preserve">Isyumov, N. (1971).</w:t>
      </w:r>
      <w:r>
        <w:t xml:space="preserve"> </w:t>
      </w:r>
      <w:r>
        <w:rPr>
          <w:i/>
          <w:iCs/>
        </w:rPr>
        <w:t xml:space="preserve">An approach to the prediction of snow loads</w:t>
      </w:r>
      <w:r>
        <w:t xml:space="preserve"> </w:t>
      </w:r>
      <w:r>
        <w:t xml:space="preserve">[PhD thesis]. The University of Western Ontario (Canada).</w:t>
      </w:r>
    </w:p>
    <w:bookmarkEnd w:id="138"/>
    <w:bookmarkStart w:id="140" w:name="ref-Katsushima2023"/>
    <w:p>
      <w:pPr>
        <w:pStyle w:val="Bibliography"/>
      </w:pPr>
      <w:r>
        <w:t xml:space="preserve">Katsushima, T., Kato, A., Aiura, H., Nanko, K., Suzuki, S., Takeuchi, Y., &amp; Murakami, S. (2023). Modelling of snow interception on a</w:t>
      </w:r>
      <w:r>
        <w:t xml:space="preserve"> </w:t>
      </w:r>
      <w:r>
        <w:t xml:space="preserve">Japanese</w:t>
      </w:r>
      <w:r>
        <w:t xml:space="preserve"> </w:t>
      </w:r>
      <w:r>
        <w:t xml:space="preserve">cedar canopy based on weighing tree experiment in a warm winter region.</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39">
        <w:r>
          <w:rPr>
            <w:rStyle w:val="Hyperlink"/>
          </w:rPr>
          <w:t xml:space="preserve">https://doi.org/10.1002/hyp.14922</w:t>
        </w:r>
      </w:hyperlink>
    </w:p>
    <w:bookmarkEnd w:id="140"/>
    <w:bookmarkStart w:id="142" w:name="ref-Kim2017"/>
    <w:p>
      <w:pPr>
        <w:pStyle w:val="Bibliography"/>
      </w:pPr>
      <w:r>
        <w:t xml:space="preserve">Kim, E., Gatebe, C., Hall, D., Newlin, J., Misakonis, A., Elder, K., Marshall, H. P., Hiemstra, C., Brucker, L., De Marco, E., Crawford, C., Kang, D. H., &amp; Entin, J. (2017).</w:t>
      </w:r>
      <w:r>
        <w:t xml:space="preserve"> </w:t>
      </w:r>
      <w:r>
        <w:t xml:space="preserve">NASA</w:t>
      </w:r>
      <w:r>
        <w:t xml:space="preserve">’s snowex campaign:</w:t>
      </w:r>
      <w:r>
        <w:t xml:space="preserve"> </w:t>
      </w:r>
      <w:r>
        <w:t xml:space="preserve">Observing</w:t>
      </w:r>
      <w:r>
        <w:t xml:space="preserve"> </w:t>
      </w:r>
      <w:r>
        <w:t xml:space="preserve">seasonal snow in a forested environment.</w:t>
      </w:r>
      <w:r>
        <w:t xml:space="preserve"> </w:t>
      </w:r>
      <w:r>
        <w:rPr>
          <w:i/>
          <w:iCs/>
        </w:rPr>
        <w:t xml:space="preserve">2017</w:t>
      </w:r>
      <w:r>
        <w:rPr>
          <w:i/>
          <w:iCs/>
        </w:rPr>
        <w:t xml:space="preserve"> </w:t>
      </w:r>
      <w:r>
        <w:rPr>
          <w:i/>
          <w:iCs/>
        </w:rPr>
        <w:t xml:space="preserve">IEEE</w:t>
      </w:r>
      <w:r>
        <w:rPr>
          <w:i/>
          <w:iCs/>
        </w:rPr>
        <w:t xml:space="preserve"> </w:t>
      </w:r>
      <w:r>
        <w:rPr>
          <w:i/>
          <w:iCs/>
        </w:rPr>
        <w:t xml:space="preserve">International Geoscience and Remote Sensing Symposium (</w:t>
      </w:r>
      <w:r>
        <w:rPr>
          <w:i/>
          <w:iCs/>
        </w:rPr>
        <w:t xml:space="preserve">IGARSS</w:t>
      </w:r>
      <w:r>
        <w:rPr>
          <w:i/>
          <w:iCs/>
        </w:rPr>
        <w:t xml:space="preserve">)</w:t>
      </w:r>
      <w:r>
        <w:t xml:space="preserve">, 1388–1390.</w:t>
      </w:r>
      <w:r>
        <w:t xml:space="preserve"> </w:t>
      </w:r>
      <w:hyperlink r:id="rId141">
        <w:r>
          <w:rPr>
            <w:rStyle w:val="Hyperlink"/>
          </w:rPr>
          <w:t xml:space="preserve">https://doi.org/10.1109/IGARSS.2017.8127222</w:t>
        </w:r>
      </w:hyperlink>
    </w:p>
    <w:bookmarkEnd w:id="142"/>
    <w:bookmarkStart w:id="144" w:name="ref-Kobayashi1987"/>
    <w:p>
      <w:pPr>
        <w:pStyle w:val="Bibliography"/>
      </w:pPr>
      <w:r>
        <w:t xml:space="preserve">Kobayashi, D. (1987). Snow accumulation on a narrow board.</w:t>
      </w:r>
      <w:r>
        <w:t xml:space="preserve"> </w:t>
      </w:r>
      <w:r>
        <w:rPr>
          <w:i/>
          <w:iCs/>
        </w:rPr>
        <w:t xml:space="preserve">Cold Regions Science and Technology</w:t>
      </w:r>
      <w:r>
        <w:t xml:space="preserve">,</w:t>
      </w:r>
      <w:r>
        <w:t xml:space="preserve"> </w:t>
      </w:r>
      <w:r>
        <w:rPr>
          <w:i/>
          <w:iCs/>
        </w:rPr>
        <w:t xml:space="preserve">13</w:t>
      </w:r>
      <w:r>
        <w:t xml:space="preserve">(3), 239–245.</w:t>
      </w:r>
      <w:r>
        <w:t xml:space="preserve"> </w:t>
      </w:r>
      <w:hyperlink r:id="rId143">
        <w:r>
          <w:rPr>
            <w:rStyle w:val="Hyperlink"/>
          </w:rPr>
          <w:t xml:space="preserve">https://doi.org/10.1016/0165-232X(87)90005-X</w:t>
        </w:r>
      </w:hyperlink>
    </w:p>
    <w:bookmarkEnd w:id="144"/>
    <w:bookmarkStart w:id="146" w:name="ref-Kozak1995"/>
    <w:p>
      <w:pPr>
        <w:pStyle w:val="Bibliography"/>
      </w:pPr>
      <w:r>
        <w:t xml:space="preserve">Kozak, A., &amp; Kozak, R. A. (1995). Notes on regression through the origin.</w:t>
      </w:r>
      <w:r>
        <w:t xml:space="preserve"> </w:t>
      </w:r>
      <w:r>
        <w:rPr>
          <w:i/>
          <w:iCs/>
        </w:rPr>
        <w:t xml:space="preserve">Forestry Chronicle</w:t>
      </w:r>
      <w:r>
        <w:t xml:space="preserve">,</w:t>
      </w:r>
      <w:r>
        <w:t xml:space="preserve"> </w:t>
      </w:r>
      <w:r>
        <w:rPr>
          <w:i/>
          <w:iCs/>
        </w:rPr>
        <w:t xml:space="preserve">71</w:t>
      </w:r>
      <w:r>
        <w:t xml:space="preserve">(3), 326–330.</w:t>
      </w:r>
      <w:r>
        <w:t xml:space="preserve"> </w:t>
      </w:r>
      <w:hyperlink r:id="rId145">
        <w:r>
          <w:rPr>
            <w:rStyle w:val="Hyperlink"/>
          </w:rPr>
          <w:t xml:space="preserve">https://doi.org/10.5558/tfc71326-3</w:t>
        </w:r>
      </w:hyperlink>
    </w:p>
    <w:bookmarkEnd w:id="146"/>
    <w:bookmarkStart w:id="148" w:name="ref-Langs2020"/>
    <w:p>
      <w:pPr>
        <w:pStyle w:val="Bibliography"/>
      </w:pPr>
      <w:r>
        <w:t xml:space="preserve">Langs, L. E., Petrone, R. M., &amp; Pomeroy, J. W. (2020). A</w:t>
      </w:r>
      <w:r>
        <w:t xml:space="preserve"> </w:t>
      </w:r>
      <m:oMath>
        <m:r>
          <m:t>δ</m:t>
        </m:r>
      </m:oMath>
      <w:r>
        <w:t xml:space="preserve">18O</w:t>
      </w:r>
      <w:r>
        <w:t xml:space="preserve"> </w:t>
      </w:r>
      <w:r>
        <w:t xml:space="preserve">and</w:t>
      </w:r>
      <w:r>
        <w:t xml:space="preserve"> </w:t>
      </w:r>
      <m:oMath>
        <m:r>
          <m:t>δ</m:t>
        </m:r>
      </m:oMath>
      <w:r>
        <w:t xml:space="preserve">2H</w:t>
      </w:r>
      <w:r>
        <w:t xml:space="preserve"> </w:t>
      </w:r>
      <w:r>
        <w:t xml:space="preserve">stable water isotope analysis of subalpine forest water sources under seasonal and hydrological stress in the</w:t>
      </w:r>
      <w:r>
        <w:t xml:space="preserve"> </w:t>
      </w:r>
      <w:r>
        <w:t xml:space="preserve">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47">
        <w:r>
          <w:rPr>
            <w:rStyle w:val="Hyperlink"/>
          </w:rPr>
          <w:t xml:space="preserve">https://doi.org/10.1002/hyp.13986</w:t>
        </w:r>
      </w:hyperlink>
    </w:p>
    <w:bookmarkEnd w:id="148"/>
    <w:bookmarkStart w:id="150" w:name="ref-Lumbrazo2022"/>
    <w:p>
      <w:pPr>
        <w:pStyle w:val="Bibliography"/>
      </w:pPr>
      <w:r>
        <w:t xml:space="preserve">Lumbrazo, C., Bennett, A., Currier, W. R., Nijssen, B., &amp; Lundquist, J. (2022). Evaluating multiple canopy-snow unloading parameterizations in</w:t>
      </w:r>
      <w:r>
        <w:t xml:space="preserve"> </w:t>
      </w:r>
      <w:r>
        <w:t xml:space="preserve">SUMMA</w:t>
      </w:r>
      <w:r>
        <w:t xml:space="preserve"> </w:t>
      </w:r>
      <w:r>
        <w:t xml:space="preserve">with time-lapse photography characterized by citizen scientists.</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49">
        <w:r>
          <w:rPr>
            <w:rStyle w:val="Hyperlink"/>
          </w:rPr>
          <w:t xml:space="preserve">https://doi.org/10.1029/2021WR030852</w:t>
        </w:r>
      </w:hyperlink>
    </w:p>
    <w:bookmarkEnd w:id="150"/>
    <w:bookmarkStart w:id="151" w:name="ref-Lundberg1994"/>
    <w:p>
      <w:pPr>
        <w:pStyle w:val="Bibliography"/>
      </w:pPr>
      <w:r>
        <w:t xml:space="preserve">Lundberg, A., &amp; Hallidin, S. (1994). Evaporation of intercepted snow:</w:t>
      </w:r>
      <w:r>
        <w:t xml:space="preserve"> </w:t>
      </w:r>
      <w:r>
        <w:t xml:space="preserve">Analysis</w:t>
      </w:r>
      <w:r>
        <w:t xml:space="preserve"> </w:t>
      </w:r>
      <w:r>
        <w:t xml:space="preserve">of governing factors.</w:t>
      </w:r>
      <w:r>
        <w:t xml:space="preserve"> </w:t>
      </w:r>
      <w:r>
        <w:rPr>
          <w:i/>
          <w:iCs/>
        </w:rPr>
        <w:t xml:space="preserve">Water Resources Research</w:t>
      </w:r>
      <w:r>
        <w:t xml:space="preserve">,</w:t>
      </w:r>
      <w:r>
        <w:t xml:space="preserve"> </w:t>
      </w:r>
      <w:r>
        <w:rPr>
          <w:i/>
          <w:iCs/>
        </w:rPr>
        <w:t xml:space="preserve">30</w:t>
      </w:r>
      <w:r>
        <w:t xml:space="preserve">(9), 2587–2598.</w:t>
      </w:r>
    </w:p>
    <w:bookmarkEnd w:id="151"/>
    <w:bookmarkStart w:id="153" w:name="ref-Lundquist2021"/>
    <w:p>
      <w:pPr>
        <w:pStyle w:val="Bibliography"/>
      </w:pPr>
      <w:r>
        <w:t xml:space="preserve">Lundquist, J. D., Dickerson-Lange, S., Gutmann, E., Jonas, T., Lumbrazo, C., &amp; Reynolds, D. (2021). Snow interception modelling:</w:t>
      </w:r>
      <w:r>
        <w:t xml:space="preserve"> </w:t>
      </w:r>
      <w:r>
        <w:t xml:space="preserve">Isolated</w:t>
      </w:r>
      <w:r>
        <w:t xml:space="preserve"> </w:t>
      </w:r>
      <w:r>
        <w:t xml:space="preserve">observations have led to many land surface models lacking appropriate temperature sensitivities.</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52">
        <w:r>
          <w:rPr>
            <w:rStyle w:val="Hyperlink"/>
          </w:rPr>
          <w:t xml:space="preserve">https://doi.org/10.1002/hyp.14274</w:t>
        </w:r>
      </w:hyperlink>
    </w:p>
    <w:bookmarkEnd w:id="153"/>
    <w:bookmarkStart w:id="154" w:name="ref-MacDonald2010"/>
    <w:p>
      <w:pPr>
        <w:pStyle w:val="Bibliography"/>
      </w:pPr>
      <w:r>
        <w:t xml:space="preserve">MacDonald, J. P. J. (2010).</w:t>
      </w:r>
      <w:r>
        <w:t xml:space="preserve"> </w:t>
      </w:r>
      <w:r>
        <w:rPr>
          <w:i/>
          <w:iCs/>
        </w:rPr>
        <w:t xml:space="preserve">Unloading of intercepted snow in conifer forests</w:t>
      </w:r>
      <w:r>
        <w:t xml:space="preserve"> </w:t>
      </w:r>
      <w:r>
        <w:t xml:space="preserve">(Master of {{Science}} August; pp. 0–93). University of Saskatchewan.</w:t>
      </w:r>
    </w:p>
    <w:bookmarkEnd w:id="154"/>
    <w:bookmarkStart w:id="156" w:name="ref-Moeser2015"/>
    <w:p>
      <w:pPr>
        <w:pStyle w:val="Bibliography"/>
      </w:pPr>
      <w:r>
        <w:t xml:space="preserve">Moeser, D., Stähli, M., &amp; Jonas, T. (2015). Improved snow interception modeling using canopy parameters derived from airborne</w:t>
      </w:r>
      <w:r>
        <w:t xml:space="preserve"> </w:t>
      </w:r>
      <w:r>
        <w:t xml:space="preserve">LiDAR</w:t>
      </w:r>
      <w:r>
        <w:t xml:space="preserve"> </w:t>
      </w:r>
      <w:r>
        <w:t xml:space="preserve">data.</w:t>
      </w:r>
      <w:r>
        <w:t xml:space="preserve"> </w:t>
      </w:r>
      <w:r>
        <w:rPr>
          <w:i/>
          <w:iCs/>
        </w:rPr>
        <w:t xml:space="preserve">Water Resources Research</w:t>
      </w:r>
      <w:r>
        <w:t xml:space="preserve">,</w:t>
      </w:r>
      <w:r>
        <w:t xml:space="preserve"> </w:t>
      </w:r>
      <w:r>
        <w:rPr>
          <w:i/>
          <w:iCs/>
        </w:rPr>
        <w:t xml:space="preserve">51</w:t>
      </w:r>
      <w:r>
        <w:t xml:space="preserve">(7), 5041–5059.</w:t>
      </w:r>
      <w:r>
        <w:t xml:space="preserve"> </w:t>
      </w:r>
      <w:hyperlink r:id="rId155">
        <w:r>
          <w:rPr>
            <w:rStyle w:val="Hyperlink"/>
          </w:rPr>
          <w:t xml:space="preserve">https://doi.org/10.1002/2014WR016724</w:t>
        </w:r>
      </w:hyperlink>
    </w:p>
    <w:bookmarkEnd w:id="156"/>
    <w:bookmarkStart w:id="158" w:name="ref-Musselman2015a"/>
    <w:p>
      <w:pPr>
        <w:pStyle w:val="Bibliography"/>
      </w:pPr>
      <w:r>
        <w:t xml:space="preserve">Musselman, K. N., Pomeroy, J. W., &amp; Link, T. E. (2015). Variability in shortwave irradiance caused by forest gaps:</w:t>
      </w:r>
      <w:r>
        <w:t xml:space="preserve"> </w:t>
      </w:r>
      <w:r>
        <w:t xml:space="preserve">Measurements</w:t>
      </w:r>
      <w:r>
        <w:t xml:space="preserve">, modelling, and implications for snow energetics.</w:t>
      </w:r>
      <w:r>
        <w:t xml:space="preserve"> </w:t>
      </w:r>
      <w:r>
        <w:rPr>
          <w:i/>
          <w:iCs/>
        </w:rPr>
        <w:t xml:space="preserve">Agricultural and Forest Meteorology</w:t>
      </w:r>
      <w:r>
        <w:t xml:space="preserve">,</w:t>
      </w:r>
      <w:r>
        <w:t xml:space="preserve"> </w:t>
      </w:r>
      <w:r>
        <w:rPr>
          <w:i/>
          <w:iCs/>
        </w:rPr>
        <w:t xml:space="preserve">207</w:t>
      </w:r>
      <w:r>
        <w:t xml:space="preserve">, 69–82.</w:t>
      </w:r>
      <w:r>
        <w:t xml:space="preserve"> </w:t>
      </w:r>
      <w:hyperlink r:id="rId157">
        <w:r>
          <w:rPr>
            <w:rStyle w:val="Hyperlink"/>
          </w:rPr>
          <w:t xml:space="preserve">https://doi.org/10.1016/j.agrformet.2015.03.014</w:t>
        </w:r>
      </w:hyperlink>
    </w:p>
    <w:bookmarkEnd w:id="158"/>
    <w:bookmarkStart w:id="160" w:name="ref-Parviainen2000"/>
    <w:p>
      <w:pPr>
        <w:pStyle w:val="Bibliography"/>
      </w:pPr>
      <w:r>
        <w:t xml:space="preserve">Parviainen, J., &amp; Pomeroy, J. W. (2000). Multiple-scale modelling of forest snow sublimation:</w:t>
      </w:r>
      <w:r>
        <w:t xml:space="preserve"> </w:t>
      </w:r>
      <w:r>
        <w:t xml:space="preserve">Initial</w:t>
      </w:r>
      <w:r>
        <w:t xml:space="preserve"> </w:t>
      </w:r>
      <w:r>
        <w:t xml:space="preserve">findings.</w:t>
      </w:r>
      <w:r>
        <w:t xml:space="preserve"> </w:t>
      </w:r>
      <w:r>
        <w:rPr>
          <w:i/>
          <w:iCs/>
        </w:rPr>
        <w:t xml:space="preserve">Hydrological Processes</w:t>
      </w:r>
      <w:r>
        <w:t xml:space="preserve">,</w:t>
      </w:r>
      <w:r>
        <w:t xml:space="preserve"> </w:t>
      </w:r>
      <w:r>
        <w:rPr>
          <w:i/>
          <w:iCs/>
        </w:rPr>
        <w:t xml:space="preserve">14</w:t>
      </w:r>
      <w:r>
        <w:t xml:space="preserve">(15), 2669–2681.</w:t>
      </w:r>
      <w:r>
        <w:t xml:space="preserve"> </w:t>
      </w:r>
      <w:hyperlink r:id="rId159">
        <w:r>
          <w:rPr>
            <w:rStyle w:val="Hyperlink"/>
          </w:rPr>
          <w:t xml:space="preserve">https://doi.org/10.1002/1099-1085(20001030)14:15&lt;2669::AID-HYP85&gt;3.0.CO;2-Q</w:t>
        </w:r>
      </w:hyperlink>
    </w:p>
    <w:bookmarkEnd w:id="160"/>
    <w:bookmarkStart w:id="162" w:name="ref-Pfister1999"/>
    <w:p>
      <w:pPr>
        <w:pStyle w:val="Bibliography"/>
      </w:pPr>
      <w:r>
        <w:t xml:space="preserve">Pfister, R., &amp; Schneebeli, M. (1999). Snow accumulation on boards of different sizes and shapes.</w:t>
      </w:r>
      <w:r>
        <w:t xml:space="preserve"> </w:t>
      </w:r>
      <w:r>
        <w:rPr>
          <w:i/>
          <w:iCs/>
        </w:rPr>
        <w:t xml:space="preserve">Hydrological Processes</w:t>
      </w:r>
      <w:r>
        <w:t xml:space="preserve">,</w:t>
      </w:r>
      <w:r>
        <w:t xml:space="preserve"> </w:t>
      </w:r>
      <w:r>
        <w:rPr>
          <w:i/>
          <w:iCs/>
        </w:rPr>
        <w:t xml:space="preserve">13</w:t>
      </w:r>
      <w:r>
        <w:t xml:space="preserve">(14-15), 2345–2355.</w:t>
      </w:r>
      <w:r>
        <w:t xml:space="preserve"> </w:t>
      </w:r>
      <w:hyperlink r:id="rId161">
        <w:r>
          <w:rPr>
            <w:rStyle w:val="Hyperlink"/>
          </w:rPr>
          <w:t xml:space="preserve">https://doi.org/10.1002/(SICI)1099-1085(199910)13:14/15&lt;2345::AID-HYP873&gt;3.0.CO;2-N</w:t>
        </w:r>
      </w:hyperlink>
    </w:p>
    <w:bookmarkEnd w:id="162"/>
    <w:bookmarkStart w:id="164" w:name="ref-Pomeroy2022"/>
    <w:p>
      <w:pPr>
        <w:pStyle w:val="Bibliography"/>
      </w:pPr>
      <w:r>
        <w:t xml:space="preserve">Pomeroy, J. W., Brown, T., Fang, X., Shook, K. R., Pradhananga, D., Armstrong, R., Harder, P., Marsh, C., Costa, D., Krogh, S. A., Aubry-wake, C., Annand, H., Lawford, P., He, Z., Kompanizare, M., &amp; Moreno, J. I. L. (2022). The cold regions hydrological modelling platform for hydrological diagnosis and prediction based on process understanding.</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63">
        <w:r>
          <w:rPr>
            <w:rStyle w:val="Hyperlink"/>
          </w:rPr>
          <w:t xml:space="preserve">https://doi.org/10.1016/j.jhydrol.2022.128711</w:t>
        </w:r>
      </w:hyperlink>
    </w:p>
    <w:bookmarkEnd w:id="164"/>
    <w:bookmarkStart w:id="166" w:name="ref-Pomeroy2012"/>
    <w:p>
      <w:pPr>
        <w:pStyle w:val="Bibliography"/>
      </w:pPr>
      <w:r>
        <w:t xml:space="preserve">Pomeroy, J. W., Fang, X., &amp; Ellis, C. R. (2012). Sensitivity of snowmelt hydrology in</w:t>
      </w:r>
      <w:r>
        <w:t xml:space="preserve"> </w:t>
      </w:r>
      <w:r>
        <w:t xml:space="preserve">Marmot Creek</w:t>
      </w:r>
      <w:r>
        <w:t xml:space="preserve">,</w:t>
      </w:r>
      <w:r>
        <w:t xml:space="preserve"> </w:t>
      </w:r>
      <w:r>
        <w:t xml:space="preserve">Alberta</w:t>
      </w:r>
      <w:r>
        <w:t xml:space="preserve">, to forest cover disturbance.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65">
        <w:r>
          <w:rPr>
            <w:rStyle w:val="Hyperlink"/>
          </w:rPr>
          <w:t xml:space="preserve">https://doi.org/10.1002/hyp.9248</w:t>
        </w:r>
      </w:hyperlink>
    </w:p>
    <w:bookmarkEnd w:id="166"/>
    <w:bookmarkStart w:id="168" w:name="ref-Pomeroy1997"/>
    <w:p>
      <w:pPr>
        <w:pStyle w:val="Bibliography"/>
      </w:pPr>
      <w:r>
        <w:t xml:space="preserve">Pomeroy, J. W., Marsh, P., &amp; Gray, D. M. (1997). Application of a distributed blowing snow model to the arctic.</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67">
        <w:r>
          <w:rPr>
            <w:rStyle w:val="Hyperlink"/>
          </w:rPr>
          <w:t xml:space="preserve">https://doi.org/10.1002/(sici)1099-1085(199709)11:11&lt;1451::aid-hyp449&gt;3.0.co;2-q</w:t>
        </w:r>
      </w:hyperlink>
    </w:p>
    <w:bookmarkEnd w:id="168"/>
    <w:bookmarkStart w:id="170" w:name="ref-Pomeroy1998b"/>
    <w:p>
      <w:pPr>
        <w:pStyle w:val="Bibliography"/>
      </w:pPr>
      <w:r>
        <w:t xml:space="preserve">Pomeroy, J. W., Parviainen, J., Hedstrom, N., &amp; Gray, D. M. (1998). Coupled modelling of forest snow interception and sublimation.</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69">
        <w:r>
          <w:rPr>
            <w:rStyle w:val="Hyperlink"/>
          </w:rPr>
          <w:t xml:space="preserve">https://doi.org/10.1002/(SICI)1099-1085(199812)12:15&lt;2317::AID-HYP799&gt;3.0.CO;2-X</w:t>
        </w:r>
      </w:hyperlink>
    </w:p>
    <w:bookmarkEnd w:id="170"/>
    <w:bookmarkStart w:id="171" w:name="ref-Pomeroy1993a"/>
    <w:p>
      <w:pPr>
        <w:pStyle w:val="Bibliography"/>
      </w:pPr>
      <w:r>
        <w:t xml:space="preserve">Pomeroy, J. W., &amp; Schmidt, R. A. (1993). The use of fractal geometry in modelling intercepted snow accumulation and sublimation.</w:t>
      </w:r>
      <w:r>
        <w:t xml:space="preserve"> </w:t>
      </w:r>
      <w:r>
        <w:rPr>
          <w:i/>
          <w:iCs/>
        </w:rPr>
        <w:t xml:space="preserve">Eastern Snow Conference</w:t>
      </w:r>
      <w:r>
        <w:t xml:space="preserve">,</w:t>
      </w:r>
      <w:r>
        <w:t xml:space="preserve"> </w:t>
      </w:r>
      <w:r>
        <w:rPr>
          <w:i/>
          <w:iCs/>
        </w:rPr>
        <w:t xml:space="preserve">50</w:t>
      </w:r>
      <w:r>
        <w:t xml:space="preserve">, 231–239.</w:t>
      </w:r>
    </w:p>
    <w:bookmarkEnd w:id="171"/>
    <w:bookmarkStart w:id="172" w:name="ref-R2024"/>
    <w:p>
      <w:pPr>
        <w:pStyle w:val="Bibliography"/>
      </w:pPr>
      <w:r>
        <w:t xml:space="preserve">R Core Team. (2024).</w:t>
      </w:r>
      <w:r>
        <w:t xml:space="preserve"> </w:t>
      </w:r>
      <w:r>
        <w:rPr>
          <w:i/>
          <w:iCs/>
        </w:rPr>
        <w:t xml:space="preserve">R: A language and environment for statistical computing</w:t>
      </w:r>
      <w:r>
        <w:t xml:space="preserve"> </w:t>
      </w:r>
      <w:r>
        <w:t xml:space="preserve">[Manual]. R Foundation for Statistical Computing.</w:t>
      </w:r>
    </w:p>
    <w:bookmarkEnd w:id="172"/>
    <w:bookmarkStart w:id="174" w:name="ref-Rittger2020"/>
    <w:p>
      <w:pPr>
        <w:pStyle w:val="Bibliography"/>
      </w:pPr>
      <w:r>
        <w:t xml:space="preserve">Rittger, K., Raleigh, M. S., Dozier, J., Hill, A. F., Lutz, J. A., &amp; Painter, T. H. (2020). Canopy adjustment and improved cloud detection for remotely sensed snow cover mapping.</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73">
        <w:r>
          <w:rPr>
            <w:rStyle w:val="Hyperlink"/>
          </w:rPr>
          <w:t xml:space="preserve">https://doi.org/10.1029/2019WR024914</w:t>
        </w:r>
      </w:hyperlink>
    </w:p>
    <w:bookmarkEnd w:id="174"/>
    <w:bookmarkStart w:id="176" w:name="ref-Roesch2001"/>
    <w:p>
      <w:pPr>
        <w:pStyle w:val="Bibliography"/>
      </w:pPr>
      <w:r>
        <w:t xml:space="preserve">Roesch, A., Wild, M., Gilgen, H., &amp; Ohmura, A. (2001). A new snow cover fraction parameterization for the</w:t>
      </w:r>
      <w:r>
        <w:t xml:space="preserve"> </w:t>
      </w:r>
      <w:r>
        <w:t xml:space="preserve">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175">
        <w:r>
          <w:rPr>
            <w:rStyle w:val="Hyperlink"/>
          </w:rPr>
          <w:t xml:space="preserve">https://doi.org/10.1007/s003820100153</w:t>
        </w:r>
      </w:hyperlink>
    </w:p>
    <w:bookmarkEnd w:id="176"/>
    <w:bookmarkStart w:id="178" w:name="ref-Roth2019"/>
    <w:p>
      <w:pPr>
        <w:pStyle w:val="Bibliography"/>
      </w:pPr>
      <w:r>
        <w:t xml:space="preserve">Roth, T. R., &amp; Nolin, A. W. (2019). Characterizing maritime snow canopy interception in forested mountains.</w:t>
      </w:r>
      <w:r>
        <w:t xml:space="preserve"> </w:t>
      </w:r>
      <w:r>
        <w:rPr>
          <w:i/>
          <w:iCs/>
        </w:rPr>
        <w:t xml:space="preserve">Water Resources Research</w:t>
      </w:r>
      <w:r>
        <w:t xml:space="preserve">,</w:t>
      </w:r>
      <w:r>
        <w:t xml:space="preserve"> </w:t>
      </w:r>
      <w:r>
        <w:rPr>
          <w:i/>
          <w:iCs/>
        </w:rPr>
        <w:t xml:space="preserve">55</w:t>
      </w:r>
      <w:r>
        <w:t xml:space="preserve">(6), 4564–4581.</w:t>
      </w:r>
      <w:r>
        <w:t xml:space="preserve"> </w:t>
      </w:r>
      <w:hyperlink r:id="rId177">
        <w:r>
          <w:rPr>
            <w:rStyle w:val="Hyperlink"/>
          </w:rPr>
          <w:t xml:space="preserve">https://doi.org/10.1029/2018WR024089</w:t>
        </w:r>
      </w:hyperlink>
    </w:p>
    <w:bookmarkEnd w:id="178"/>
    <w:bookmarkStart w:id="180" w:name="ref-Safa2021"/>
    <w:p>
      <w:pPr>
        <w:pStyle w:val="Bibliography"/>
      </w:pPr>
      <w:r>
        <w:t xml:space="preserve">Safa, H., Krogh, S. A., Greenberg, J., Kostadinov, T. S., &amp; Harpold, A. A. (2021). Unraveling the controls on snow disappearance in montane conifer forests using multi-site lidar.</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179">
        <w:r>
          <w:rPr>
            <w:rStyle w:val="Hyperlink"/>
          </w:rPr>
          <w:t xml:space="preserve">https://doi.org/10.1029/2020WR027522</w:t>
        </w:r>
      </w:hyperlink>
    </w:p>
    <w:bookmarkEnd w:id="180"/>
    <w:bookmarkStart w:id="182" w:name="ref-Satterlund1967"/>
    <w:p>
      <w:pPr>
        <w:pStyle w:val="Bibliography"/>
      </w:pPr>
      <w:r>
        <w:t xml:space="preserve">Satterlund, D. R., &amp; Haupt, H. F. (1967). Snow catch by conifer crowns.</w:t>
      </w:r>
      <w:r>
        <w:t xml:space="preserve"> </w:t>
      </w:r>
      <w:r>
        <w:rPr>
          <w:i/>
          <w:iCs/>
        </w:rPr>
        <w:t xml:space="preserve">Water Resources Research</w:t>
      </w:r>
      <w:r>
        <w:t xml:space="preserve">,</w:t>
      </w:r>
      <w:r>
        <w:t xml:space="preserve"> </w:t>
      </w:r>
      <w:r>
        <w:rPr>
          <w:i/>
          <w:iCs/>
        </w:rPr>
        <w:t xml:space="preserve">3</w:t>
      </w:r>
      <w:r>
        <w:t xml:space="preserve">(4), 1035–1039.</w:t>
      </w:r>
      <w:r>
        <w:t xml:space="preserve"> </w:t>
      </w:r>
      <w:hyperlink r:id="rId181">
        <w:r>
          <w:rPr>
            <w:rStyle w:val="Hyperlink"/>
          </w:rPr>
          <w:t xml:space="preserve">https://doi.org/10.1029/WR003i004p01035</w:t>
        </w:r>
      </w:hyperlink>
    </w:p>
    <w:bookmarkEnd w:id="182"/>
    <w:bookmarkStart w:id="184" w:name="ref-Schmidt1991"/>
    <w:p>
      <w:pPr>
        <w:pStyle w:val="Bibliography"/>
      </w:pPr>
      <w:r>
        <w:t xml:space="preserve">Schmidt, R. A., &amp; Gluns, D. R. (1991). Snowfall interception on branches of three conifer species.</w:t>
      </w:r>
      <w:r>
        <w:t xml:space="preserve"> </w:t>
      </w:r>
      <w:r>
        <w:rPr>
          <w:i/>
          <w:iCs/>
        </w:rPr>
        <w:t xml:space="preserve">Canadian Journal of Forest Research</w:t>
      </w:r>
      <w:r>
        <w:t xml:space="preserve">,</w:t>
      </w:r>
      <w:r>
        <w:t xml:space="preserve"> </w:t>
      </w:r>
      <w:r>
        <w:rPr>
          <w:i/>
          <w:iCs/>
        </w:rPr>
        <w:t xml:space="preserve">21</w:t>
      </w:r>
      <w:r>
        <w:t xml:space="preserve">(8), 1262–1269.</w:t>
      </w:r>
      <w:r>
        <w:t xml:space="preserve"> </w:t>
      </w:r>
      <w:hyperlink r:id="rId183">
        <w:r>
          <w:rPr>
            <w:rStyle w:val="Hyperlink"/>
          </w:rPr>
          <w:t xml:space="preserve">https://doi.org/10.1139/x91-176</w:t>
        </w:r>
      </w:hyperlink>
    </w:p>
    <w:bookmarkEnd w:id="184"/>
    <w:bookmarkStart w:id="186" w:name="ref-Schmidt1989"/>
    <w:p>
      <w:pPr>
        <w:pStyle w:val="Bibliography"/>
      </w:pPr>
      <w:r>
        <w:t xml:space="preserve">Schmidt, R. A., &amp; Troendle, C. A. (1989). Snowfall into a forest and clearing.</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185">
        <w:r>
          <w:rPr>
            <w:rStyle w:val="Hyperlink"/>
          </w:rPr>
          <w:t xml:space="preserve">https://doi.org/10.1016/0022-1694(89)90196-0</w:t>
        </w:r>
      </w:hyperlink>
    </w:p>
    <w:bookmarkEnd w:id="186"/>
    <w:bookmarkStart w:id="187" w:name="ref-Smith2007"/>
    <w:p>
      <w:pPr>
        <w:pStyle w:val="Bibliography"/>
      </w:pPr>
      <w:r>
        <w:t xml:space="preserve">Smith, C. D. (2007). Correcting the wind bias in snowfall measurements made with a</w:t>
      </w:r>
      <w:r>
        <w:t xml:space="preserve"> </w:t>
      </w:r>
      <w:r>
        <w:t xml:space="preserve">Geonor T-200B</w:t>
      </w:r>
      <w:r>
        <w:t xml:space="preserve"> </w:t>
      </w:r>
      <w:r>
        <w:t xml:space="preserve">precipitation gauge and alter wind shield.</w:t>
      </w:r>
      <w:r>
        <w:t xml:space="preserve"> </w:t>
      </w:r>
      <w:r>
        <w:rPr>
          <w:i/>
          <w:iCs/>
        </w:rPr>
        <w:t xml:space="preserve">87th</w:t>
      </w:r>
      <w:r>
        <w:rPr>
          <w:i/>
          <w:iCs/>
        </w:rPr>
        <w:t xml:space="preserve"> </w:t>
      </w:r>
      <w:r>
        <w:rPr>
          <w:i/>
          <w:iCs/>
        </w:rPr>
        <w:t xml:space="preserve">AMS</w:t>
      </w:r>
      <w:r>
        <w:rPr>
          <w:i/>
          <w:iCs/>
        </w:rPr>
        <w:t xml:space="preserve"> </w:t>
      </w:r>
      <w:r>
        <w:rPr>
          <w:i/>
          <w:iCs/>
        </w:rPr>
        <w:t xml:space="preserve">Annual Meeting</w:t>
      </w:r>
      <w:r>
        <w:t xml:space="preserve">.</w:t>
      </w:r>
    </w:p>
    <w:bookmarkEnd w:id="187"/>
    <w:bookmarkStart w:id="189" w:name="ref-Staines2023"/>
    <w:p>
      <w:pPr>
        <w:pStyle w:val="Bibliography"/>
      </w:pPr>
      <w:r>
        <w:t xml:space="preserve">Staines, J., &amp; Pomeroy, J. W. (2023). Influence of forest canopy structure and wind flow on patterns of sub-canopy snow accumulation in montane needleleaf forests.</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188">
        <w:r>
          <w:rPr>
            <w:rStyle w:val="Hyperlink"/>
          </w:rPr>
          <w:t xml:space="preserve">https://doi.org/10.1002/hyp.15005</w:t>
        </w:r>
      </w:hyperlink>
    </w:p>
    <w:bookmarkEnd w:id="189"/>
    <w:bookmarkStart w:id="191" w:name="ref-Storck2002"/>
    <w:p>
      <w:pPr>
        <w:pStyle w:val="Bibliography"/>
      </w:pPr>
      <w:r>
        <w:t xml:space="preserve">Storck, P., Lettenmaier, D. P., &amp; Bolton, S. M. (2002). Measurement of snow interception and canopy effects on snow accumulation and melt in a mountainous maritime climate,</w:t>
      </w:r>
      <w:r>
        <w:t xml:space="preserve"> </w:t>
      </w:r>
      <w:r>
        <w:t xml:space="preserve">Oregon</w:t>
      </w:r>
      <w:r>
        <w:t xml:space="preserve">,</w:t>
      </w:r>
      <w:r>
        <w:t xml:space="preserve"> </w:t>
      </w:r>
      <w:r>
        <w:t xml:space="preserve">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190">
        <w:r>
          <w:rPr>
            <w:rStyle w:val="Hyperlink"/>
          </w:rPr>
          <w:t xml:space="preserve">https://doi.org/10.1029/2002wr001281</w:t>
        </w:r>
      </w:hyperlink>
    </w:p>
    <w:bookmarkEnd w:id="191"/>
    <w:bookmarkStart w:id="193" w:name="ref-Troendle1983"/>
    <w:p>
      <w:pPr>
        <w:pStyle w:val="Bibliography"/>
      </w:pPr>
      <w:r>
        <w:t xml:space="preserve">Troendle, C. A. (1983). The potential for water yield augmentation from forest management in the rocky mountain region.</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192">
        <w:r>
          <w:rPr>
            <w:rStyle w:val="Hyperlink"/>
          </w:rPr>
          <w:t xml:space="preserve">https://doi.org/10.1111/j.1752-1688.1983.tb04593.x</w:t>
        </w:r>
      </w:hyperlink>
    </w:p>
    <w:bookmarkEnd w:id="193"/>
    <w:bookmarkStart w:id="195" w:name="ref-Valante1997"/>
    <w:p>
      <w:pPr>
        <w:pStyle w:val="Bibliography"/>
      </w:pPr>
      <w:r>
        <w:t xml:space="preserve">Valante, F., David, J. S., &amp; Gash, J. H. C. (1997). Modelling interception loss for two sparse eucalypt and pine forests in central</w:t>
      </w:r>
      <w:r>
        <w:t xml:space="preserve"> </w:t>
      </w:r>
      <w:r>
        <w:t xml:space="preserve">Portugal</w:t>
      </w:r>
      <w:r>
        <w:t xml:space="preserve"> </w:t>
      </w:r>
      <w:r>
        <w:t xml:space="preserve">using reformulated</w:t>
      </w:r>
      <w:r>
        <w:t xml:space="preserve"> </w:t>
      </w:r>
      <w:r>
        <w:t xml:space="preserve">Rutter</w:t>
      </w:r>
      <w:r>
        <w:t xml:space="preserve"> </w:t>
      </w:r>
      <w:r>
        <w:t xml:space="preserve">and</w:t>
      </w:r>
      <w:r>
        <w:t xml:space="preserve"> </w:t>
      </w:r>
      <w:r>
        <w:t xml:space="preserve">Gash</w:t>
      </w:r>
      <w:r>
        <w:t xml:space="preserve"> </w:t>
      </w:r>
      <w:r>
        <w:t xml:space="preserve">analytical models.</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194">
        <w:r>
          <w:rPr>
            <w:rStyle w:val="Hyperlink"/>
          </w:rPr>
          <w:t xml:space="preserve">https://doi.org/10.1016/S0022-1694(96)03066-1</w:t>
        </w:r>
      </w:hyperlink>
    </w:p>
    <w:bookmarkEnd w:id="195"/>
    <w:bookmarkStart w:id="197" w:name="ref-VanStan2011"/>
    <w:p>
      <w:pPr>
        <w:pStyle w:val="Bibliography"/>
      </w:pPr>
      <w:r>
        <w:t xml:space="preserve">Van Stan, J. T., Siegert, C. M., Levia, D. F., &amp; Scheick, C. E. (2011). Effects of wind-driven rainfall on stemflow generation between codominant tree species with differing crown characteristics.</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196">
        <w:r>
          <w:rPr>
            <w:rStyle w:val="Hyperlink"/>
          </w:rPr>
          <w:t xml:space="preserve">https://doi.org/10.1016/j.agrformet.2011.05.008</w:t>
        </w:r>
      </w:hyperlink>
    </w:p>
    <w:bookmarkEnd w:id="197"/>
    <w:bookmarkStart w:id="199" w:name="ref-Varhola2010"/>
    <w:p>
      <w:pPr>
        <w:pStyle w:val="Bibliography"/>
      </w:pPr>
      <w:r>
        <w:t xml:space="preserve">Varhola, A., Coops, N. C., Weiler, M., &amp; Moore, R. D. (2010). Forest canopy effects on snow accumulation and ablation:</w:t>
      </w:r>
      <w:r>
        <w:t xml:space="preserve"> </w:t>
      </w:r>
      <w:r>
        <w:t xml:space="preserve">An</w:t>
      </w:r>
      <w:r>
        <w:t xml:space="preserve"> </w:t>
      </w:r>
      <w:r>
        <w:t xml:space="preserve">integrative review of empirical results.</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198">
        <w:r>
          <w:rPr>
            <w:rStyle w:val="Hyperlink"/>
          </w:rPr>
          <w:t xml:space="preserve">https://doi.org/10.1016/j.jhydrol.2010.08.009</w:t>
        </w:r>
      </w:hyperlink>
    </w:p>
    <w:bookmarkEnd w:id="199"/>
    <w:bookmarkStart w:id="200" w:name="ref-Verseghy2017"/>
    <w:p>
      <w:pPr>
        <w:pStyle w:val="Bibliography"/>
      </w:pPr>
      <w:r>
        <w:t xml:space="preserve">Verseghy, D. L. (2017).</w:t>
      </w:r>
      <w:r>
        <w:t xml:space="preserve"> </w:t>
      </w:r>
      <w:r>
        <w:rPr>
          <w:i/>
          <w:iCs/>
        </w:rPr>
        <w:t xml:space="preserve">Class – the canadian land surface scheme (version 3.6.1) technical documentation.</w:t>
      </w:r>
      <w:r>
        <w:t xml:space="preserve"> </w:t>
      </w:r>
      <w:r>
        <w:t xml:space="preserve">(January; p. 174).</w:t>
      </w:r>
      <w:r>
        <w:t xml:space="preserve"> </w:t>
      </w:r>
      <w:r>
        <w:t xml:space="preserve">Environment and Climate Change Canada Internal Rep.</w:t>
      </w:r>
    </w:p>
    <w:bookmarkEnd w:id="200"/>
    <w:bookmarkStart w:id="202" w:name="ref-Vionnet2021"/>
    <w:p>
      <w:pPr>
        <w:pStyle w:val="Bibliography"/>
      </w:pPr>
      <w:r>
        <w:t xml:space="preserve">Vionnet, V., Mortimer, C., Brady, M., Arnal, L., &amp; Brown, R. (2021). Canadian historical snow water equivalent dataset (</w:t>
      </w:r>
      <w:r>
        <w:t xml:space="preserve">CanSWE</w:t>
      </w:r>
      <w:r>
        <w:t xml:space="preserve">, 1928–2020).</w:t>
      </w:r>
      <w:r>
        <w:t xml:space="preserve"> </w:t>
      </w:r>
      <w:r>
        <w:rPr>
          <w:i/>
          <w:iCs/>
        </w:rPr>
        <w:t xml:space="preserve">Earth System Science Data</w:t>
      </w:r>
      <w:r>
        <w:t xml:space="preserve">,</w:t>
      </w:r>
      <w:r>
        <w:t xml:space="preserve"> </w:t>
      </w:r>
      <w:r>
        <w:rPr>
          <w:i/>
          <w:iCs/>
        </w:rPr>
        <w:t xml:space="preserve">13</w:t>
      </w:r>
      <w:r>
        <w:t xml:space="preserve">(9), 4603–4619.</w:t>
      </w:r>
      <w:r>
        <w:t xml:space="preserve"> </w:t>
      </w:r>
      <w:hyperlink r:id="rId201">
        <w:r>
          <w:rPr>
            <w:rStyle w:val="Hyperlink"/>
          </w:rPr>
          <w:t xml:space="preserve">https://doi.org/10.5194/essd-13-4603-2021</w:t>
        </w:r>
      </w:hyperlink>
    </w:p>
    <w:bookmarkEnd w:id="202"/>
    <w:bookmarkStart w:id="203" w:name="ref-Watanabe1964"/>
    <w:p>
      <w:pPr>
        <w:pStyle w:val="Bibliography"/>
      </w:pPr>
      <w:r>
        <w:t xml:space="preserve">Watanabe, S., &amp; Ozeki, J. (1964). Study of fallen snow on forest trees (</w:t>
      </w:r>
      <w:r>
        <w:t xml:space="preserve">II</w:t>
      </w:r>
      <w:r>
        <w:t xml:space="preserve">).</w:t>
      </w:r>
      <w:r>
        <w:t xml:space="preserve"> </w:t>
      </w:r>
      <w:r>
        <w:t xml:space="preserve">Experiment</w:t>
      </w:r>
      <w:r>
        <w:t xml:space="preserve"> </w:t>
      </w:r>
      <w:r>
        <w:t xml:space="preserve">on the snow crown of the</w:t>
      </w:r>
      <w:r>
        <w:t xml:space="preserve"> </w:t>
      </w:r>
      <w:r>
        <w:t xml:space="preserve">Japanese</w:t>
      </w:r>
      <w:r>
        <w:t xml:space="preserve"> </w:t>
      </w:r>
      <w:r>
        <w:t xml:space="preserve">cedar.</w:t>
      </w:r>
      <w:r>
        <w:t xml:space="preserve"> </w:t>
      </w:r>
      <w:r>
        <w:rPr>
          <w:i/>
          <w:iCs/>
        </w:rPr>
        <w:t xml:space="preserve">Jap. Govt. Forest Exp. Sta. Bull</w:t>
      </w:r>
      <w:r>
        <w:t xml:space="preserve">,</w:t>
      </w:r>
      <w:r>
        <w:t xml:space="preserve"> </w:t>
      </w:r>
      <w:r>
        <w:rPr>
          <w:i/>
          <w:iCs/>
        </w:rPr>
        <w:t xml:space="preserve">169</w:t>
      </w:r>
      <w:r>
        <w:t xml:space="preserve">, 121–140.</w:t>
      </w:r>
    </w:p>
    <w:bookmarkEnd w:id="203"/>
    <w:bookmarkStart w:id="205" w:name="ref-Zhong2022"/>
    <w:p>
      <w:pPr>
        <w:pStyle w:val="Bibliography"/>
      </w:pPr>
      <w:r>
        <w:t xml:space="preserve">Zhong, F., Jiang, S., van Dijk, A. I. J. M., Ren, L., Schellekens, J., &amp; Miralles, D. G. (2022). Revisiting large-scale interception patterns constrained by a synthesis of global experimental data.</w:t>
      </w:r>
      <w:r>
        <w:t xml:space="preserve"> </w:t>
      </w:r>
      <w:r>
        <w:rPr>
          <w:i/>
          <w:iCs/>
        </w:rPr>
        <w:t xml:space="preserve">Hydrology and Earth System Sciences</w:t>
      </w:r>
      <w:r>
        <w:t xml:space="preserve">,</w:t>
      </w:r>
      <w:r>
        <w:t xml:space="preserve"> </w:t>
      </w:r>
      <w:r>
        <w:rPr>
          <w:i/>
          <w:iCs/>
        </w:rPr>
        <w:t xml:space="preserve">26</w:t>
      </w:r>
      <w:r>
        <w:t xml:space="preserve">(21), 5647–5667.</w:t>
      </w:r>
      <w:r>
        <w:t xml:space="preserve"> </w:t>
      </w:r>
      <w:hyperlink r:id="rId204">
        <w:r>
          <w:rPr>
            <w:rStyle w:val="Hyperlink"/>
          </w:rPr>
          <w:t xml:space="preserve">https://doi.org/10.5194/hess-26-5647-2022</w:t>
        </w:r>
      </w:hyperlink>
    </w:p>
    <w:bookmarkEnd w:id="205"/>
    <w:bookmarkEnd w:id="206"/>
    <w:bookmarkEnd w:id="207"/>
    <w:sectPr w:rsidR="00A44478">
      <w:headerReference r:id="rId9" w:type="default"/>
      <w:footerReference r:id="rId10" w:type="default"/>
      <w:pgSz w:h="15840" w:w="12240"/>
      <w:pgMar w:bottom="1440" w:footer="0" w:gutter="0" w:header="0" w:left="1440" w:right="144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CJK SC">
    <w:charset w:val="00"/>
    <w:family w:val="auto"/>
    <w:pitch w:val="default"/>
  </w:font>
  <w:font w:name="Lohit Devanagar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D368" w14:textId="77777777" w:rsidR="00124EA8" w:rsidRDefault="00000000">
    <w:pPr>
      <w:pStyle w:val="Footer"/>
      <w:jc w:val="center"/>
    </w:pPr>
    <w:r>
      <w:fldChar w:fldCharType="begin"/>
    </w:r>
    <w:r>
      <w:instrText>PAGE \* MERGEFORMAT</w:instrText>
    </w:r>
    <w:r>
      <w:fldChar w:fldCharType="separate"/>
    </w:r>
    <w:r>
      <w:t>1</w:t>
    </w:r>
    <w:r>
      <w:fldChar w:fldCharType="end"/>
    </w:r>
  </w:p>
  <w:p w14:paraId="1A690564" w14:textId="77777777" w:rsidR="00124EA8" w:rsidRDefault="00124EA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AB72E" w14:textId="77777777" w:rsidR="00124EA8" w:rsidRDefault="00124EA8">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B7A915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A99411"/>
    <w:multiLevelType w:val="multilevel"/>
    <w:tmpl w:val="BFC695C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2">
    <w:nsid w:val="1B1A6AD5"/>
    <w:multiLevelType w:val="multilevel"/>
    <w:tmpl w:val="8C168A3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3">
    <w:nsid w:val="1F024FC9"/>
    <w:multiLevelType w:val="multilevel"/>
    <w:tmpl w:val="161EE77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4">
    <w:nsid w:val="246A2775"/>
    <w:multiLevelType w:val="multilevel"/>
    <w:tmpl w:val="D054ABB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5">
    <w:nsid w:val="2BB455A2"/>
    <w:multiLevelType w:val="multilevel"/>
    <w:tmpl w:val="C94CFF6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6">
    <w:nsid w:val="70FA0232"/>
    <w:multiLevelType w:val="multilevel"/>
    <w:tmpl w:val="E30CE59E"/>
    <w:lvl w:ilvl="0">
      <w:start w:val="1"/>
      <w:numFmt w:val="decimal"/>
      <w:pStyle w:val="Heading1"/>
      <w:lvlText w:val=""/>
      <w:lvlJc w:val="left"/>
      <w:pPr>
        <w:tabs>
          <w:tab w:pos="0" w:val="left"/>
        </w:tabs>
        <w:ind w:firstLine="0" w:left="0"/>
      </w:pPr>
    </w:lvl>
    <w:lvl w:ilvl="1">
      <w:start w:val="1"/>
      <w:numFmt w:val="decimal"/>
      <w:pStyle w:val="Heading2"/>
      <w:lvlText w:val=""/>
      <w:lvlJc w:val="left"/>
      <w:pPr>
        <w:tabs>
          <w:tab w:pos="0" w:val="left"/>
        </w:tabs>
        <w:ind w:firstLine="0" w:left="0"/>
      </w:pPr>
    </w:lvl>
    <w:lvl w:ilvl="2">
      <w:start w:val="1"/>
      <w:numFmt w:val="decimal"/>
      <w:pStyle w:val="Heading3"/>
      <w:lvlText w:val=""/>
      <w:lvlJc w:val="left"/>
      <w:pPr>
        <w:tabs>
          <w:tab w:pos="0" w:val="left"/>
        </w:tabs>
        <w:ind w:firstLine="0" w:left="0"/>
      </w:pPr>
    </w:lvl>
    <w:lvl w:ilvl="3">
      <w:start w:val="1"/>
      <w:numFmt w:val="none"/>
      <w:suff w:val="nothing"/>
      <w:lvlText w:val=""/>
      <w:lvlJc w:val="left"/>
      <w:pPr>
        <w:tabs>
          <w:tab w:pos="0" w:val="left"/>
        </w:tabs>
        <w:ind w:firstLine="0" w:left="0"/>
      </w:pPr>
    </w:lvl>
    <w:lvl w:ilvl="4">
      <w:start w:val="1"/>
      <w:numFmt w:val="none"/>
      <w:suff w:val="nothing"/>
      <w:lvlText w:val=""/>
      <w:lvlJc w:val="left"/>
      <w:pPr>
        <w:tabs>
          <w:tab w:pos="0" w:val="left"/>
        </w:tabs>
        <w:ind w:firstLine="0" w:left="0"/>
      </w:pPr>
    </w:lvl>
    <w:lvl w:ilvl="5">
      <w:start w:val="1"/>
      <w:numFmt w:val="none"/>
      <w:suff w:val="nothing"/>
      <w:lvlText w:val=""/>
      <w:lvlJc w:val="left"/>
      <w:pPr>
        <w:tabs>
          <w:tab w:pos="0" w:val="left"/>
        </w:tabs>
        <w:ind w:firstLine="0" w:left="0"/>
      </w:pPr>
    </w:lvl>
    <w:lvl w:ilvl="6">
      <w:start w:val="1"/>
      <w:numFmt w:val="none"/>
      <w:suff w:val="nothing"/>
      <w:lvlText w:val=""/>
      <w:lvlJc w:val="left"/>
      <w:pPr>
        <w:tabs>
          <w:tab w:pos="0" w:val="left"/>
        </w:tabs>
        <w:ind w:firstLine="0" w:left="0"/>
      </w:pPr>
    </w:lvl>
    <w:lvl w:ilvl="7">
      <w:start w:val="1"/>
      <w:numFmt w:val="none"/>
      <w:suff w:val="nothing"/>
      <w:lvlText w:val=""/>
      <w:lvlJc w:val="left"/>
      <w:pPr>
        <w:tabs>
          <w:tab w:pos="0" w:val="left"/>
        </w:tabs>
        <w:ind w:firstLine="0" w:left="0"/>
      </w:pPr>
    </w:lvl>
    <w:lvl w:ilvl="8">
      <w:start w:val="1"/>
      <w:numFmt w:val="none"/>
      <w:suff w:val="nothing"/>
      <w:lvlText w:val=""/>
      <w:lvlJc w:val="left"/>
      <w:pPr>
        <w:tabs>
          <w:tab w:pos="0" w:val="left"/>
        </w:tabs>
        <w:ind w:firstLine="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20435146" w:numId="1">
    <w:abstractNumId w:val="6"/>
  </w:num>
  <w:num w16cid:durableId="607853232"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508058295" w:numId="3">
    <w:abstractNumId w:val="4"/>
  </w:num>
  <w:num w16cid:durableId="794982737" w:numId="4">
    <w:abstractNumId w:val="2"/>
  </w:num>
  <w:num w16cid:durableId="369646055" w:numId="5">
    <w:abstractNumId w:val="3"/>
  </w:num>
  <w:num w16cid:durableId="342049474" w:numId="6">
    <w:abstractNumId w:val="0"/>
  </w:num>
  <w:num w16cid:durableId="971523190"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autoHyphenation/>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EA8"/>
    <w:rsid w:val="000A017A"/>
    <w:rsid w:val="00124EA8"/>
    <w:rsid w:val="001A455E"/>
    <w:rsid w:val="002B56F6"/>
    <w:rsid w:val="00306183"/>
    <w:rsid w:val="0032758C"/>
    <w:rsid w:val="004C1932"/>
    <w:rsid w:val="00A44478"/>
    <w:rsid w:val="00D8174C"/>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lang w:bidi="ar-SA" w:eastAsia="en-CA" w:val="en-CA"/>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pPr>
      <w:spacing w:after="200"/>
    </w:pPr>
    <w:rPr>
      <w:rFonts w:ascii="Times New Roman" w:hAnsi="Times New Roman"/>
      <w:sz w:val="24"/>
      <w:szCs w:val="24"/>
      <w:lang w:eastAsia="en-US" w:val="en-US"/>
    </w:rPr>
  </w:style>
  <w:style w:styleId="Heading1" w:type="paragraph">
    <w:name w:val="heading 1"/>
    <w:basedOn w:val="Normal"/>
    <w:next w:val="BodyText"/>
    <w:link w:val="Heading1Char"/>
    <w:uiPriority w:val="9"/>
    <w:qFormat/>
    <w:pPr>
      <w:keepNext/>
      <w:keepLines/>
      <w:numPr>
        <w:numId w:val="1"/>
      </w:numPr>
      <w:spacing w:after="283" w:before="482"/>
      <w:outlineLvl w:val="0"/>
    </w:pPr>
    <w:rPr>
      <w:rFonts w:ascii="Arial" w:cstheme="majorBidi" w:eastAsiaTheme="majorEastAsia" w:hAnsi="Arial"/>
      <w:b/>
      <w:bCs/>
      <w:color w:val="000000"/>
      <w:sz w:val="28"/>
      <w:szCs w:val="28"/>
    </w:rPr>
  </w:style>
  <w:style w:styleId="Heading2" w:type="paragraph">
    <w:name w:val="heading 2"/>
    <w:basedOn w:val="Normal"/>
    <w:next w:val="BodyText"/>
    <w:link w:val="Heading2Char"/>
    <w:uiPriority w:val="9"/>
    <w:unhideWhenUsed/>
    <w:qFormat/>
    <w:pPr>
      <w:keepNext/>
      <w:keepLines/>
      <w:numPr>
        <w:ilvl w:val="1"/>
        <w:numId w:val="1"/>
      </w:numPr>
      <w:spacing w:after="0" w:before="200"/>
      <w:outlineLvl w:val="1"/>
    </w:pPr>
    <w:rPr>
      <w:rFonts w:ascii="Arial" w:cstheme="majorBidi" w:eastAsiaTheme="majorEastAsia" w:hAnsi="Arial"/>
      <w:b/>
      <w:bCs/>
      <w:color w:val="000000"/>
      <w:sz w:val="28"/>
      <w:szCs w:val="28"/>
    </w:rPr>
  </w:style>
  <w:style w:styleId="Heading3" w:type="paragraph">
    <w:name w:val="heading 3"/>
    <w:basedOn w:val="Normal"/>
    <w:next w:val="BodyText"/>
    <w:link w:val="Heading3Char"/>
    <w:uiPriority w:val="9"/>
    <w:unhideWhenUsed/>
    <w:qFormat/>
    <w:pPr>
      <w:keepNext/>
      <w:keepLines/>
      <w:numPr>
        <w:ilvl w:val="2"/>
        <w:numId w:val="1"/>
      </w:numPr>
      <w:spacing w:before="200"/>
      <w:outlineLvl w:val="2"/>
    </w:pPr>
    <w:rPr>
      <w:rFonts w:ascii="Arial" w:cstheme="majorBidi" w:eastAsiaTheme="majorEastAsia" w:hAnsi="Arial"/>
      <w:b/>
      <w:bCs/>
      <w:color w:val="000000"/>
    </w:rPr>
  </w:style>
  <w:style w:styleId="Heading4" w:type="paragraph">
    <w:name w:val="heading 4"/>
    <w:basedOn w:val="Normal"/>
    <w:next w:val="BodyText"/>
    <w:link w:val="Heading4Char"/>
    <w:uiPriority w:val="9"/>
    <w:unhideWhenUsed/>
    <w:qFormat/>
    <w:pPr>
      <w:keepNext/>
      <w:keepLines/>
      <w:spacing w:after="0" w:before="200"/>
      <w:outlineLvl w:val="3"/>
    </w:pPr>
    <w:rPr>
      <w:rFonts w:ascii="Arial" w:cstheme="majorBidi" w:eastAsiaTheme="majorEastAsia" w:hAnsi="Arial"/>
      <w:b/>
      <w:bCs/>
      <w:color w:val="000000"/>
    </w:rPr>
  </w:style>
  <w:style w:styleId="Heading5" w:type="paragraph">
    <w:name w:val="heading 5"/>
    <w:basedOn w:val="Normal"/>
    <w:next w:val="BodyText"/>
    <w:link w:val="Heading5Char"/>
    <w:uiPriority w:val="9"/>
    <w:unhideWhenUsed/>
    <w:qFormat/>
    <w:pPr>
      <w:keepNext/>
      <w:keepLines/>
      <w:spacing w:after="0" w:before="200"/>
      <w:outlineLvl w:val="4"/>
    </w:pPr>
    <w:rPr>
      <w:rFonts w:ascii="Arial" w:cstheme="majorBidi" w:eastAsiaTheme="majorEastAsia" w:hAnsi="Arial"/>
      <w:b/>
      <w:iCs/>
      <w:color w:themeColor="text1" w:val="000000"/>
    </w:rPr>
  </w:style>
  <w:style w:styleId="Heading6" w:type="paragraph">
    <w:name w:val="heading 6"/>
    <w:basedOn w:val="Normal"/>
    <w:next w:val="BodyText"/>
    <w:link w:val="Heading6Char"/>
    <w:uiPriority w:val="9"/>
    <w:unhideWhenUsed/>
    <w:qFormat/>
    <w:pPr>
      <w:keepNext/>
      <w:keepLines/>
      <w:spacing w:before="200"/>
      <w:outlineLvl w:val="5"/>
    </w:pPr>
    <w:rPr>
      <w:rFonts w:cstheme="majorBidi" w:eastAsiaTheme="majorEastAsia"/>
      <w:color w:themeColor="text1" w:val="000000"/>
    </w:rPr>
  </w:style>
  <w:style w:styleId="Heading7" w:type="paragraph">
    <w:name w:val="heading 7"/>
    <w:basedOn w:val="Normal"/>
    <w:next w:val="BodyText"/>
    <w:link w:val="Heading7Cha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link w:val="Heading8Cha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link w:val="Heading9Cha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Pr>
      <w:rFonts w:ascii="Arial" w:cs="Arial" w:eastAsia="Arial" w:hAnsi="Arial"/>
      <w:sz w:val="40"/>
      <w:szCs w:val="40"/>
    </w:rPr>
  </w:style>
  <w:style w:customStyle="1" w:styleId="Heading2Char" w:type="character">
    <w:name w:val="Heading 2 Char"/>
    <w:basedOn w:val="DefaultParagraphFont"/>
    <w:link w:val="Heading2"/>
    <w:uiPriority w:val="9"/>
    <w:rPr>
      <w:rFonts w:ascii="Arial" w:cs="Arial" w:eastAsia="Arial" w:hAnsi="Arial"/>
      <w:sz w:val="34"/>
    </w:rPr>
  </w:style>
  <w:style w:customStyle="1" w:styleId="Heading3Char" w:type="character">
    <w:name w:val="Heading 3 Char"/>
    <w:basedOn w:val="DefaultParagraphFont"/>
    <w:link w:val="Heading3"/>
    <w:uiPriority w:val="9"/>
    <w:rPr>
      <w:rFonts w:ascii="Arial" w:cs="Arial" w:eastAsia="Arial" w:hAnsi="Arial"/>
      <w:sz w:val="30"/>
      <w:szCs w:val="30"/>
    </w:rPr>
  </w:style>
  <w:style w:customStyle="1" w:styleId="Heading4Char" w:type="character">
    <w:name w:val="Heading 4 Char"/>
    <w:basedOn w:val="DefaultParagraphFont"/>
    <w:link w:val="Heading4"/>
    <w:uiPriority w:val="9"/>
    <w:rPr>
      <w:rFonts w:ascii="Arial" w:cs="Arial" w:eastAsia="Arial" w:hAnsi="Arial"/>
      <w:b/>
      <w:bCs/>
      <w:sz w:val="26"/>
      <w:szCs w:val="26"/>
    </w:rPr>
  </w:style>
  <w:style w:customStyle="1" w:styleId="Heading5Char" w:type="character">
    <w:name w:val="Heading 5 Char"/>
    <w:basedOn w:val="DefaultParagraphFont"/>
    <w:link w:val="Heading5"/>
    <w:uiPriority w:val="9"/>
    <w:rPr>
      <w:rFonts w:ascii="Arial" w:cs="Arial" w:eastAsia="Arial" w:hAnsi="Arial"/>
      <w:b/>
      <w:bCs/>
      <w:sz w:val="24"/>
      <w:szCs w:val="24"/>
    </w:rPr>
  </w:style>
  <w:style w:customStyle="1" w:styleId="Heading6Char" w:type="character">
    <w:name w:val="Heading 6 Char"/>
    <w:basedOn w:val="DefaultParagraphFont"/>
    <w:link w:val="Heading6"/>
    <w:uiPriority w:val="9"/>
    <w:rPr>
      <w:rFonts w:ascii="Arial" w:cs="Arial" w:eastAsia="Arial" w:hAnsi="Arial"/>
      <w:b/>
      <w:bCs/>
      <w:sz w:val="22"/>
      <w:szCs w:val="22"/>
    </w:rPr>
  </w:style>
  <w:style w:customStyle="1" w:styleId="Heading7Char" w:type="character">
    <w:name w:val="Heading 7 Char"/>
    <w:basedOn w:val="DefaultParagraphFont"/>
    <w:link w:val="Heading7"/>
    <w:uiPriority w:val="9"/>
    <w:rPr>
      <w:rFonts w:ascii="Arial" w:cs="Arial" w:eastAsia="Arial" w:hAnsi="Arial"/>
      <w:b/>
      <w:bCs/>
      <w:i/>
      <w:iCs/>
      <w:sz w:val="22"/>
      <w:szCs w:val="22"/>
    </w:rPr>
  </w:style>
  <w:style w:customStyle="1" w:styleId="Heading8Char" w:type="character">
    <w:name w:val="Heading 8 Char"/>
    <w:basedOn w:val="DefaultParagraphFont"/>
    <w:link w:val="Heading8"/>
    <w:uiPriority w:val="9"/>
    <w:rPr>
      <w:rFonts w:ascii="Arial" w:cs="Arial" w:eastAsia="Arial" w:hAnsi="Arial"/>
      <w:i/>
      <w:iCs/>
      <w:sz w:val="22"/>
      <w:szCs w:val="22"/>
    </w:rPr>
  </w:style>
  <w:style w:customStyle="1" w:styleId="Heading9Char" w:type="character">
    <w:name w:val="Heading 9 Char"/>
    <w:basedOn w:val="DefaultParagraphFont"/>
    <w:link w:val="Heading9"/>
    <w:uiPriority w:val="9"/>
    <w:rPr>
      <w:rFonts w:ascii="Arial" w:cs="Arial" w:eastAsia="Arial" w:hAnsi="Arial"/>
      <w:i/>
      <w:iCs/>
      <w:sz w:val="21"/>
      <w:szCs w:val="21"/>
    </w:rPr>
  </w:style>
  <w:style w:styleId="ListParagraph" w:type="paragraph">
    <w:name w:val="List Paragraph"/>
    <w:basedOn w:val="Normal"/>
    <w:uiPriority w:val="34"/>
    <w:qFormat/>
    <w:pPr>
      <w:ind w:left="720"/>
      <w:contextualSpacing/>
    </w:pPr>
  </w:style>
  <w:style w:styleId="NoSpacing" w:type="paragraph">
    <w:name w:val="No Spacing"/>
    <w:uiPriority w:val="1"/>
    <w:qFormat/>
  </w:style>
  <w:style w:customStyle="1" w:styleId="TitleChar" w:type="character">
    <w:name w:val="Title Char"/>
    <w:basedOn w:val="DefaultParagraphFont"/>
    <w:link w:val="Title"/>
    <w:uiPriority w:val="10"/>
    <w:rPr>
      <w:sz w:val="48"/>
      <w:szCs w:val="48"/>
    </w:rPr>
  </w:style>
  <w:style w:customStyle="1" w:styleId="SubtitleChar" w:type="character">
    <w:name w:val="Subtitle Char"/>
    <w:basedOn w:val="DefaultParagraphFont"/>
    <w:link w:val="Subtitle"/>
    <w:uiPriority w:val="11"/>
    <w:rPr>
      <w:sz w:val="24"/>
      <w:szCs w:val="24"/>
    </w:rPr>
  </w:style>
  <w:style w:styleId="Quote" w:type="paragraph">
    <w:name w:val="Quote"/>
    <w:basedOn w:val="Normal"/>
    <w:next w:val="Normal"/>
    <w:link w:val="QuoteChar"/>
    <w:uiPriority w:val="29"/>
    <w:qFormat/>
    <w:pPr>
      <w:ind w:left="720" w:right="720"/>
    </w:pPr>
    <w:rPr>
      <w:i/>
    </w:rPr>
  </w:style>
  <w:style w:customStyle="1" w:styleId="QuoteChar" w:type="character">
    <w:name w:val="Quote Char"/>
    <w:link w:val="Quote"/>
    <w:uiPriority w:val="29"/>
    <w:rPr>
      <w:i/>
    </w:rPr>
  </w:style>
  <w:style w:styleId="IntenseQuote" w:type="paragraph">
    <w:name w:val="Intense Quote"/>
    <w:basedOn w:val="Normal"/>
    <w:next w:val="Normal"/>
    <w:link w:val="IntenseQuoteChar"/>
    <w:uiPriority w:val="30"/>
    <w:qFormat/>
    <w:pPr>
      <w:pBdr>
        <w:top w:color="FFFFFF" w:space="5" w:sz="4" w:val="single"/>
        <w:left w:color="FFFFFF" w:space="10" w:sz="4" w:val="single"/>
        <w:bottom w:color="FFFFFF" w:space="5" w:sz="4" w:val="single"/>
        <w:right w:color="FFFFFF" w:space="10" w:sz="4" w:val="single"/>
      </w:pBdr>
      <w:shd w:color="auto" w:fill="F2F2F2" w:val="clear"/>
      <w:ind w:left="720" w:right="720"/>
    </w:pPr>
    <w:rPr>
      <w:i/>
    </w:rPr>
  </w:style>
  <w:style w:customStyle="1" w:styleId="IntenseQuoteChar" w:type="character">
    <w:name w:val="Intense Quote Char"/>
    <w:link w:val="IntenseQuote"/>
    <w:uiPriority w:val="30"/>
    <w:rPr>
      <w:i/>
    </w:rPr>
  </w:style>
  <w:style w:customStyle="1" w:styleId="HeaderChar" w:type="character">
    <w:name w:val="Header Char"/>
    <w:basedOn w:val="DefaultParagraphFont"/>
    <w:link w:val="Header"/>
    <w:uiPriority w:val="99"/>
  </w:style>
  <w:style w:customStyle="1" w:styleId="FooterChar" w:type="character">
    <w:name w:val="Footer Char"/>
    <w:basedOn w:val="DefaultParagraphFont"/>
    <w:uiPriority w:val="99"/>
  </w:style>
  <w:style w:customStyle="1" w:styleId="FooterChar1" w:type="character">
    <w:name w:val="Footer Char1"/>
    <w:link w:val="Footer"/>
    <w:uiPriority w:val="99"/>
  </w:style>
  <w:style w:styleId="TableGrid" w:type="table">
    <w:name w:val="Table Grid"/>
    <w:basedOn w:val="TableNormal"/>
    <w:uiPriority w:val="59"/>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styleId="TableGridLight" w:type="table">
    <w:name w:val="Grid Table Light"/>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style>
  <w:style w:styleId="PlainTable1" w:type="table">
    <w:name w:val="Plain Table 1"/>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color="F2F2F2" w:fill="F2F2F2" w:themeColor="text1" w:themeFill="text1" w:themeFillTint="0D" w:themeTint="0D" w:val="clear"/>
      </w:tcPr>
    </w:tblStylePr>
    <w:tblStylePr w:type="band1Horz">
      <w:tblPr/>
      <w:tcPr>
        <w:shd w:color="F2F2F2" w:fill="F2F2F2" w:themeColor="text1" w:themeFill="text1" w:themeFillTint="0D" w:themeTint="0D" w:val="clear"/>
      </w:tcPr>
    </w:tblStylePr>
  </w:style>
  <w:style w:styleId="PlainTable2" w:type="table">
    <w:name w:val="Plain Table 2"/>
    <w:basedOn w:val="TableNormal"/>
    <w:uiPriority w:val="59"/>
    <w:tblPr>
      <w:tblBorders>
        <w:top w:color="000000" w:space="0" w:sz="4" w:themeColor="text1" w:val="single"/>
        <w:left w:color="000000" w:space="0" w:sz="4" w:themeColor="text1" w:val="none"/>
        <w:bottom w:color="000000" w:space="0" w:sz="4" w:themeColor="text1" w:val="single"/>
        <w:right w:color="000000" w:space="0" w:sz="4" w:themeColor="text1" w:val="none"/>
      </w:tblBorders>
    </w:tblPr>
    <w:tblStylePr w:type="firstRow">
      <w:rPr>
        <w:rFonts w:ascii="Arial" w:hAnsi="Arial"/>
        <w:b/>
        <w:color w:val="404040"/>
        <w:sz w:val="22"/>
      </w:rPr>
      <w:tblPr/>
      <w:tcPr>
        <w:tcBorders>
          <w:top w:color="000000" w:space="0" w:sz="4" w:themeColor="text1" w:val="single"/>
          <w:bottom w:color="000000" w:space="0" w:sz="4" w:themeColor="text1" w:val="single"/>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color="000000" w:space="0" w:sz="4" w:themeColor="text1" w:val="single"/>
          <w:right w:color="000000" w:space="0" w:sz="4" w:themeColor="text1" w:val="single"/>
        </w:tcBorders>
      </w:tcPr>
    </w:tblStylePr>
    <w:tblStylePr w:type="band2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tcBorders>
      </w:tcPr>
    </w:tblStylePr>
  </w:style>
  <w:style w:styleId="PlainTable3" w:type="table">
    <w:name w:val="Plain Table 3"/>
    <w:basedOn w:val="TableNormal"/>
    <w:uiPriority w:val="99"/>
    <w:tblPr>
      <w:tblStyleRowBandSize w:val="1"/>
      <w:tblStyleColBandSize w:val="1"/>
    </w:tblPr>
    <w:tblStylePr w:type="firstRow">
      <w:rPr>
        <w:b/>
        <w:caps/>
        <w:color w:val="404040"/>
      </w:rPr>
      <w:tblPr/>
      <w:tcPr>
        <w:tcBorders>
          <w:top w:color="000000" w:space="0" w:sz="4" w:val="none"/>
          <w:left w:color="000000" w:space="0" w:sz="4" w:val="none"/>
          <w:bottom w:color="404040" w:space="0" w:sz="4" w:val="single"/>
          <w:right w:color="000000" w:space="0" w:sz="4" w:val="none"/>
        </w:tcBorders>
      </w:tcPr>
    </w:tblStylePr>
    <w:tblStylePr w:type="lastRow">
      <w:rPr>
        <w:b/>
        <w:caps/>
        <w:color w:val="404040"/>
      </w:rPr>
    </w:tblStylePr>
    <w:tblStylePr w:type="firstCol">
      <w:rPr>
        <w:b/>
        <w:caps/>
        <w:color w:val="404040"/>
      </w:rPr>
      <w:tblPr/>
      <w:tcPr>
        <w:tcBorders>
          <w:top w:color="000000" w:space="0" w:sz="4" w:val="none"/>
          <w:left w:color="000000" w:space="0" w:sz="4" w:val="none"/>
          <w:bottom w:color="000000" w:space="0" w:sz="4" w:val="none"/>
          <w:right w:color="404040" w:space="0" w:sz="4" w:val="single"/>
        </w:tcBorders>
      </w:tcPr>
    </w:tblStylePr>
    <w:tblStylePr w:type="lastCol">
      <w:rPr>
        <w:b/>
        <w:caps/>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4" w:type="table">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5" w:type="table">
    <w:name w:val="Plain Table 5"/>
    <w:basedOn w:val="TableNormal"/>
    <w:uiPriority w:val="99"/>
    <w:tblPr>
      <w:tblStyleRowBandSize w:val="1"/>
      <w:tblStyleColBandSize w:val="1"/>
    </w:tblPr>
    <w:tblStylePr w:type="firstRow">
      <w:rPr>
        <w:i/>
        <w:color w:val="404040"/>
      </w:rPr>
      <w:tblPr/>
      <w:tcPr>
        <w:tcBorders>
          <w:left w:color="000000" w:space="0" w:sz="4" w:val="none"/>
          <w:bottom w:color="404040" w:space="0" w:sz="4" w:val="single"/>
          <w:right w:color="000000" w:space="0" w:sz="4" w:val="none"/>
        </w:tcBorders>
        <w:shd w:color="FFFFFF" w:fill="auto" w:val="clear"/>
      </w:tcPr>
    </w:tblStylePr>
    <w:tblStylePr w:type="lastRow">
      <w:rPr>
        <w:i/>
        <w:color w:val="404040"/>
      </w:rPr>
      <w:tblPr/>
      <w:tcPr>
        <w:tcBorders>
          <w:top w:color="404040" w:space="0" w:sz="4" w:val="single"/>
          <w:left w:color="000000" w:space="0" w:sz="4" w:val="none"/>
          <w:right w:color="000000" w:space="0" w:sz="4" w:val="none"/>
        </w:tcBorders>
        <w:shd w:color="FFFFFF" w:fill="auto" w:val="clear"/>
      </w:tcPr>
    </w:tblStylePr>
    <w:tblStylePr w:type="firstCol">
      <w:pPr>
        <w:jc w:val="right"/>
      </w:pPr>
      <w:rPr>
        <w:i/>
        <w:color w:val="404040"/>
      </w:rPr>
      <w:tblPr/>
      <w:tcPr>
        <w:tcBorders>
          <w:right w:color="404040" w:space="0" w:sz="4" w:val="single"/>
        </w:tcBorders>
        <w:shd w:color="FFFFFF" w:fill="auto" w:val="clear"/>
      </w:tcPr>
    </w:tblStylePr>
    <w:tblStylePr w:type="lastCol">
      <w:rPr>
        <w:i/>
        <w:color w:val="404040"/>
      </w:rPr>
      <w:tblPr/>
      <w:tcPr>
        <w:tcBorders>
          <w:left w:color="404040" w:space="0" w:sz="4" w:val="single"/>
        </w:tcBorders>
        <w:shd w:color="FFFFFF" w:fill="auto" w:val="clear"/>
      </w:tc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GridTable1Light" w:type="table">
    <w:name w:val="Grid Table 1 Light"/>
    <w:basedOn w:val="TableNormal"/>
    <w:uiPriority w:val="99"/>
    <w:tblPr>
      <w:tblStyleRowBandSize w:val="1"/>
      <w:tblStyleColBandSize w:val="1"/>
      <w:tbl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insideH w:color="989898" w:space="0" w:sz="4" w:themeColor="text1" w:themeTint="67" w:val="single"/>
        <w:insideV w:color="989898" w:space="0" w:sz="4" w:themeColor="text1" w:themeTint="67" w:val="single"/>
      </w:tblBorders>
    </w:tblPr>
    <w:tblStylePr w:type="firstRow">
      <w:rPr>
        <w:b/>
        <w:color w:val="404040"/>
      </w:rPr>
      <w:tblPr/>
      <w:tcPr>
        <w:tcBorders>
          <w:bottom w:color="6A6A6A" w:space="0" w:sz="12" w:themeColor="tex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tcBorders>
      </w:tcPr>
    </w:tblStylePr>
  </w:style>
  <w:style w:styleId="GridTable1Light-Accent1" w:type="table">
    <w:name w:val="Grid Table 1 Light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b/>
        <w:color w:val="404040"/>
      </w:rPr>
      <w:tblPr/>
      <w:tcPr>
        <w:tcBorders>
          <w:bottom w:color="97B4D8" w:space="0" w:sz="12" w:themeColor="accen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styleId="GridTable1Light-Accent2" w:type="table">
    <w:name w:val="Grid Table 1 Light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b/>
        <w:color w:val="404040"/>
      </w:rPr>
      <w:tblPr/>
      <w:tcPr>
        <w:tcBorders>
          <w:bottom w:color="DA9896" w:space="0" w:sz="12" w:themeColor="accent2"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styleId="GridTable1Light-Accent3" w:type="table">
    <w:name w:val="Grid Table 1 Light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b/>
        <w:color w:val="404040"/>
      </w:rPr>
      <w:tblPr/>
      <w:tcPr>
        <w:tcBorders>
          <w:bottom w:color="C4D79D" w:space="0" w:sz="12" w:themeColor="accent3"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styleId="GridTable1Light-Accent4" w:type="table">
    <w:name w:val="Grid Table 1 Light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b/>
        <w:color w:val="404040"/>
      </w:rPr>
      <w:tblPr/>
      <w:tcPr>
        <w:tcBorders>
          <w:bottom w:color="B4A4C8" w:space="0" w:sz="12" w:themeColor="accent4"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styleId="GridTable1Light-Accent5" w:type="table">
    <w:name w:val="Grid Table 1 Light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b/>
        <w:color w:val="404040"/>
      </w:rPr>
      <w:tblPr/>
      <w:tcPr>
        <w:tcBorders>
          <w:bottom w:color="95CEDD" w:space="0" w:sz="12" w:themeColor="accent5"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styleId="GridTable1Light-Accent6" w:type="table">
    <w:name w:val="Grid Table 1 Light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b/>
        <w:color w:val="404040"/>
      </w:rPr>
      <w:tblPr/>
      <w:tcPr>
        <w:tcBorders>
          <w:bottom w:color="FAC192" w:space="0" w:sz="12" w:themeColor="accent6"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styleId="GridTable2" w:type="table">
    <w:name w:val="Grid Table 2"/>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6A6A6A" w:space="0" w:sz="12" w:themeColor="text1" w:themeTint="95" w:val="single"/>
          <w:right w:color="000000" w:space="0" w:sz="4" w:val="none"/>
        </w:tcBorders>
        <w:shd w:color="FFFFFF" w:fill="auto" w:val="clear"/>
      </w:tcPr>
    </w:tblStylePr>
    <w:tblStylePr w:type="lastRow">
      <w:rPr>
        <w:b/>
        <w:color w:val="404040"/>
      </w:rPr>
      <w:tblPr/>
      <w:tcPr>
        <w:tcBorders>
          <w:top w:color="6A6A6A" w:space="0" w:sz="4" w:themeColor="text1" w:themeTint="9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2-Accent1" w:type="table">
    <w:name w:val="Grid Table 2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5D8AC2" w:space="0" w:sz="12" w:themeColor="accent1" w:themeTint="EA" w:val="single"/>
          <w:right w:color="000000" w:space="0" w:sz="4" w:val="none"/>
        </w:tcBorders>
        <w:shd w:color="FFFFFF" w:fill="auto" w:val="clear"/>
      </w:tcPr>
    </w:tblStylePr>
    <w:tblStylePr w:type="lastRow">
      <w:rPr>
        <w:b/>
        <w:color w:val="404040"/>
      </w:rPr>
      <w:tblPr/>
      <w:tcPr>
        <w:tcBorders>
          <w:top w:color="5D8AC2" w:space="0" w:sz="4" w:themeColor="accent1" w:themeTint="E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2-Accent2" w:type="table">
    <w:name w:val="Grid Table 2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D99695" w:space="0" w:sz="12" w:themeColor="accent2" w:themeTint="97" w:val="single"/>
          <w:right w:color="000000" w:space="0" w:sz="4" w:val="none"/>
        </w:tcBorders>
        <w:shd w:color="FFFFFF" w:fill="auto" w:val="clear"/>
      </w:tcPr>
    </w:tblStylePr>
    <w:tblStylePr w:type="lastRow">
      <w:rPr>
        <w:b/>
        <w:color w:val="404040"/>
      </w:rPr>
      <w:tblPr/>
      <w:tcPr>
        <w:tcBorders>
          <w:top w:color="D99695" w:space="0" w:sz="4" w:themeColor="accent2" w:themeTint="97"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2-Accent3" w:type="table">
    <w:name w:val="Grid Table 2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9ABB59" w:space="0" w:sz="12" w:themeColor="accent3" w:themeTint="FE" w:val="single"/>
          <w:right w:color="000000" w:space="0" w:sz="4" w:val="none"/>
        </w:tcBorders>
        <w:shd w:color="FFFFFF" w:fill="auto" w:val="clear"/>
      </w:tcPr>
    </w:tblStylePr>
    <w:tblStylePr w:type="lastRow">
      <w:rPr>
        <w:b/>
        <w:color w:val="404040"/>
      </w:rPr>
      <w:tblPr/>
      <w:tcPr>
        <w:tcBorders>
          <w:top w:color="9ABB59" w:space="0" w:sz="4" w:themeColor="accent3" w:themeTint="FE"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2-Accent4" w:type="table">
    <w:name w:val="Grid Table 2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B2A1C6" w:space="0" w:sz="12" w:themeColor="accent4" w:themeTint="9A" w:val="single"/>
          <w:right w:color="000000" w:space="0" w:sz="4" w:val="none"/>
        </w:tcBorders>
        <w:shd w:color="FFFFFF" w:fill="auto" w:val="clear"/>
      </w:tcPr>
    </w:tblStylePr>
    <w:tblStylePr w:type="lastRow">
      <w:rPr>
        <w:b/>
        <w:color w:val="404040"/>
      </w:rPr>
      <w:tblPr/>
      <w:tcPr>
        <w:tcBorders>
          <w:top w:color="B2A1C6" w:space="0" w:sz="4" w:themeColor="accent4" w:themeTint="9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2-Accent5" w:type="table">
    <w:name w:val="Grid Table 2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4BACC6" w:space="0" w:sz="12" w:themeColor="accent5" w:val="single"/>
          <w:right w:color="000000" w:space="0" w:sz="4" w:val="none"/>
        </w:tcBorders>
        <w:shd w:color="FFFFFF" w:fill="auto" w:val="clear"/>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2-Accent6" w:type="table">
    <w:name w:val="Grid Table 2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F79646" w:space="0" w:sz="12" w:themeColor="accent6" w:val="single"/>
          <w:right w:color="000000" w:space="0" w:sz="4" w:val="none"/>
        </w:tcBorders>
        <w:shd w:color="FFFFFF" w:fill="auto" w:val="clear"/>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3" w:type="table">
    <w:name w:val="Grid Table 3"/>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3-Accent1" w:type="table">
    <w:name w:val="Grid Table 3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3-Accent2" w:type="table">
    <w:name w:val="Grid Table 3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3-Accent3" w:type="table">
    <w:name w:val="Grid Table 3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3-Accent4" w:type="table">
    <w:name w:val="Grid Table 3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3-Accent5" w:type="table">
    <w:name w:val="Grid Table 3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3-Accent6" w:type="table">
    <w:name w:val="Grid Table 3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4" w:type="table">
    <w:name w:val="Grid Table 4"/>
    <w:basedOn w:val="TableNormal"/>
    <w:uiPriority w:val="59"/>
    <w:tblPr>
      <w:tblStyleRowBandSize w:val="1"/>
      <w:tblStyleColBandSize w:val="1"/>
      <w:tblBorders>
        <w:top w:color="6F6F6F" w:space="0" w:sz="4" w:themeColor="text1" w:themeTint="90" w:val="single"/>
        <w:left w:color="6F6F6F" w:space="0" w:sz="4" w:themeColor="text1" w:themeTint="90" w:val="single"/>
        <w:bottom w:color="6F6F6F" w:space="0" w:sz="4" w:themeColor="text1" w:themeTint="90" w:val="single"/>
        <w:right w:color="6F6F6F" w:space="0" w:sz="4" w:themeColor="text1" w:themeTint="90" w:val="single"/>
        <w:insideH w:color="6F6F6F" w:space="0" w:sz="4" w:themeColor="text1" w:themeTint="90" w:val="single"/>
        <w:insideV w:color="6F6F6F" w:space="0" w:sz="4" w:themeColor="text1" w:themeTint="90" w:val="single"/>
      </w:tblBorders>
    </w:tblPr>
    <w:tblStylePr w:type="firstRow">
      <w:rPr>
        <w:rFonts w:ascii="Arial" w:hAnsi="Arial"/>
        <w:b/>
        <w:color w:val="FFFFFF"/>
        <w:sz w:val="22"/>
      </w:rPr>
      <w:tblPr/>
      <w:tcPr>
        <w:tcBorders>
          <w:top w:color="000000" w:space="0" w:sz="4" w:themeColor="text1" w:val="single"/>
          <w:left w:color="000000" w:space="0" w:sz="4" w:themeColor="text1" w:val="single"/>
          <w:bottom w:color="000000" w:space="0" w:sz="4" w:themeColor="text1" w:val="single"/>
          <w:right w:color="000000" w:space="0" w:sz="4" w:themeColor="text1" w:val="single"/>
        </w:tcBorders>
        <w:shd w:color="000000" w:fill="000000" w:themeColor="text1" w:themeFill="text1" w:val="clear"/>
      </w:tcPr>
    </w:tblStylePr>
    <w:tblStylePr w:type="lastRow">
      <w:rPr>
        <w:b/>
        <w:color w:val="404040"/>
      </w:rPr>
      <w:tblPr/>
      <w:tcPr>
        <w:tcBorders>
          <w:top w:color="000000" w:space="0" w:sz="4" w:themeColor="text1"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4-Accent1" w:type="table">
    <w:name w:val="Grid Table 4 Accent 1"/>
    <w:basedOn w:val="TableNormal"/>
    <w:uiPriority w:val="5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insideV w:color="9BB7D9" w:space="0" w:sz="4" w:themeColor="accent1" w:themeTint="90" w:val="single"/>
      </w:tblBorders>
    </w:tblPr>
    <w:tblStylePr w:type="firstRow">
      <w:rPr>
        <w:rFonts w:ascii="Arial" w:hAnsi="Arial"/>
        <w:b/>
        <w:color w:val="FFFFFF"/>
        <w:sz w:val="22"/>
      </w:rPr>
      <w:tblPr/>
      <w:tcPr>
        <w:tcBorders>
          <w:top w:color="5D8AC2" w:space="0" w:sz="4" w:themeColor="accent1" w:themeTint="EA" w:val="single"/>
          <w:left w:color="5D8AC2" w:space="0" w:sz="4" w:themeColor="accent1" w:themeTint="EA" w:val="single"/>
          <w:bottom w:color="5D8AC2" w:space="0" w:sz="4" w:themeColor="accent1" w:themeTint="EA" w:val="single"/>
          <w:right w:color="5D8AC2" w:space="0" w:sz="4" w:themeColor="accent1" w:themeTint="EA" w:val="single"/>
        </w:tcBorders>
        <w:shd w:color="5D8AC2" w:fill="5D8AC2" w:themeColor="accent1" w:themeFill="accent1" w:themeFillTint="EA" w:themeTint="EA" w:val="clear"/>
      </w:tcPr>
    </w:tblStylePr>
    <w:tblStylePr w:type="lastRow">
      <w:rPr>
        <w:b/>
        <w:color w:val="404040"/>
      </w:rPr>
      <w:tblPr/>
      <w:tcPr>
        <w:tcBorders>
          <w:top w:color="5D8AC2" w:space="0" w:sz="4" w:themeColor="accent1" w:themeTint="E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CE6F2" w:fill="DCE6F2" w:themeColor="accent1" w:themeFill="accent1" w:themeFillTint="32" w:themeTint="32" w:val="clear"/>
      </w:tcPr>
    </w:tblStylePr>
    <w:tblStylePr w:type="band1Horz">
      <w:rPr>
        <w:rFonts w:ascii="Arial" w:hAnsi="Arial"/>
        <w:color w:val="404040"/>
        <w:sz w:val="22"/>
      </w:rPr>
      <w:tblPr/>
      <w:tcPr>
        <w:shd w:color="DCE6F2" w:fill="DCE6F2" w:themeColor="accent1" w:themeFill="accent1" w:themeFillTint="32" w:themeTint="32" w:val="clear"/>
      </w:tcPr>
    </w:tblStylePr>
  </w:style>
  <w:style w:styleId="GridTable4-Accent2" w:type="table">
    <w:name w:val="Grid Table 4 Accent 2"/>
    <w:basedOn w:val="TableNormal"/>
    <w:uiPriority w:val="5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insideV w:color="DB9B9A" w:space="0" w:sz="4" w:themeColor="accent2" w:themeTint="90" w:val="single"/>
      </w:tblBorders>
    </w:tblPr>
    <w:tblStylePr w:type="firstRow">
      <w:rPr>
        <w:rFonts w:ascii="Arial" w:hAnsi="Arial"/>
        <w:b/>
        <w:color w:val="FFFFFF"/>
        <w:sz w:val="22"/>
      </w:rPr>
      <w:tblPr/>
      <w:tcPr>
        <w:tc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cBorders>
        <w:shd w:color="D99695" w:fill="D99695" w:themeColor="accent2" w:themeFill="accent2" w:themeFillTint="97" w:themeTint="97" w:val="clear"/>
      </w:tcPr>
    </w:tblStylePr>
    <w:tblStylePr w:type="lastRow">
      <w:rPr>
        <w:b/>
        <w:color w:val="404040"/>
      </w:rPr>
      <w:tblPr/>
      <w:tcPr>
        <w:tcBorders>
          <w:top w:color="D99695" w:space="0" w:sz="4" w:themeColor="accent2" w:themeTint="97"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4-Accent3" w:type="table">
    <w:name w:val="Grid Table 4 Accent 3"/>
    <w:basedOn w:val="TableNormal"/>
    <w:uiPriority w:val="5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insideV w:color="C6D8A1" w:space="0" w:sz="4" w:themeColor="accent3" w:themeTint="90" w:val="single"/>
      </w:tblBorders>
    </w:tblPr>
    <w:tblStylePr w:type="firstRow">
      <w:rPr>
        <w:rFonts w:ascii="Arial" w:hAnsi="Arial"/>
        <w:b/>
        <w:color w:val="FFFFFF"/>
        <w:sz w:val="22"/>
      </w:rPr>
      <w:tblPr/>
      <w:tcPr>
        <w:tc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tcBorders>
        <w:shd w:color="9ABB59" w:fill="9ABB59" w:themeColor="accent3" w:themeFill="accent3" w:themeFillTint="FE" w:themeTint="FE" w:val="clear"/>
      </w:tcPr>
    </w:tblStylePr>
    <w:tblStylePr w:type="lastRow">
      <w:rPr>
        <w:b/>
        <w:color w:val="404040"/>
      </w:rPr>
      <w:tblPr/>
      <w:tcPr>
        <w:tcBorders>
          <w:top w:color="9ABB59" w:space="0" w:sz="4" w:themeColor="accent3" w:themeTint="FE"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4-Accent4" w:type="table">
    <w:name w:val="Grid Table 4 Accent 4"/>
    <w:basedOn w:val="TableNormal"/>
    <w:uiPriority w:val="5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insideV w:color="B7A7CA" w:space="0" w:sz="4" w:themeColor="accent4" w:themeTint="90" w:val="single"/>
      </w:tblBorders>
    </w:tblPr>
    <w:tblStylePr w:type="firstRow">
      <w:rPr>
        <w:rFonts w:ascii="Arial" w:hAnsi="Arial"/>
        <w:b/>
        <w:color w:val="FFFFFF"/>
        <w:sz w:val="22"/>
      </w:rPr>
      <w:tblPr/>
      <w:tcPr>
        <w:tc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cBorders>
        <w:shd w:color="B2A1C6" w:fill="B2A1C6" w:themeColor="accent4" w:themeFill="accent4" w:themeFillTint="9A" w:themeTint="9A" w:val="clear"/>
      </w:tcPr>
    </w:tblStylePr>
    <w:tblStylePr w:type="lastRow">
      <w:rPr>
        <w:b/>
        <w:color w:val="404040"/>
      </w:rPr>
      <w:tblPr/>
      <w:tcPr>
        <w:tcBorders>
          <w:top w:color="B2A1C6" w:space="0" w:sz="4" w:themeColor="accent4" w:themeTint="9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4-Accent5" w:type="table">
    <w:name w:val="Grid Table 4 Accent 5"/>
    <w:basedOn w:val="TableNormal"/>
    <w:uiPriority w:val="5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val="FFFFFF"/>
        <w:sz w:val="22"/>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tcBorders>
        <w:shd w:color="4BACC6" w:fill="4BACC6" w:themeColor="accent5" w:themeFill="accent5" w:val="clear"/>
      </w:tcPr>
    </w:tblStylePr>
    <w:tblStylePr w:type="lastRow">
      <w:rPr>
        <w:b/>
        <w:color w:val="404040"/>
      </w:rPr>
      <w:tblPr/>
      <w:tcPr>
        <w:tcBorders>
          <w:top w:color="4BACC6" w:space="0" w:sz="4" w:themeColor="accent5"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4-Accent6" w:type="table">
    <w:name w:val="Grid Table 4 Accent 6"/>
    <w:basedOn w:val="TableNormal"/>
    <w:uiPriority w:val="5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val="FFFFFF"/>
        <w:sz w:val="22"/>
      </w:rPr>
      <w:tblPr/>
      <w:tcPr>
        <w:tcBorders>
          <w:top w:color="F79646" w:space="0" w:sz="4" w:themeColor="accent6" w:val="single"/>
          <w:left w:color="F79646" w:space="0" w:sz="4" w:themeColor="accent6" w:val="single"/>
          <w:bottom w:color="F79646" w:space="0" w:sz="4" w:themeColor="accent6" w:val="single"/>
          <w:right w:color="F79646" w:space="0" w:sz="4" w:themeColor="accent6" w:val="single"/>
        </w:tcBorders>
        <w:shd w:color="F79646" w:fill="F79646" w:themeColor="accent6" w:themeFill="accent6" w:val="clear"/>
      </w:tcPr>
    </w:tblStylePr>
    <w:tblStylePr w:type="lastRow">
      <w:rPr>
        <w:b/>
        <w:color w:val="404040"/>
      </w:rPr>
      <w:tblPr/>
      <w:tcPr>
        <w:tcBorders>
          <w:top w:color="F79646" w:space="0" w:sz="4" w:themeColor="accent6"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5Dark" w:type="table">
    <w:name w:val="Grid Table 5 Dark"/>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BFBFBF" w:fill="BFBFBF" w:themeColor="text1" w:themeFill="text1" w:themeFillTint="40" w:themeTint="40" w:val="clear"/>
    </w:tblPr>
    <w:tblStylePr w:type="firstRow">
      <w:rPr>
        <w:rFonts w:ascii="Arial" w:hAnsi="Arial"/>
        <w:b/>
        <w:color w:val="FFFFFF"/>
        <w:sz w:val="22"/>
      </w:rPr>
      <w:tblPr/>
      <w:tcPr>
        <w:shd w:color="000000" w:fill="000000" w:themeColor="text1" w:themeFill="text1" w:val="clear"/>
      </w:tcPr>
    </w:tblStylePr>
    <w:tblStylePr w:type="lastRow">
      <w:rPr>
        <w:rFonts w:ascii="Arial" w:hAnsi="Arial"/>
        <w:b/>
        <w:color w:val="FFFFFF"/>
        <w:sz w:val="22"/>
      </w:rPr>
      <w:tblPr/>
      <w:tcPr>
        <w:tcBorders>
          <w:top w:color="FFFFFF" w:space="0" w:sz="4" w:themeColor="light1" w:val="single"/>
        </w:tcBorders>
        <w:shd w:color="000000" w:fill="000000" w:themeColor="text1" w:themeFill="text1" w:val="clear"/>
      </w:tcPr>
    </w:tblStylePr>
    <w:tblStylePr w:type="firstCol">
      <w:rPr>
        <w:rFonts w:ascii="Arial" w:hAnsi="Arial"/>
        <w:b/>
        <w:color w:val="FFFFFF"/>
        <w:sz w:val="22"/>
      </w:rPr>
      <w:tblPr/>
      <w:tcPr>
        <w:shd w:color="000000" w:fill="000000" w:themeColor="text1" w:themeFill="text1" w:val="clear"/>
      </w:tcPr>
    </w:tblStylePr>
    <w:tblStylePr w:type="lastCol">
      <w:rPr>
        <w:rFonts w:ascii="Arial" w:hAnsi="Arial"/>
        <w:b/>
        <w:color w:val="FFFFFF"/>
        <w:sz w:val="22"/>
      </w:rPr>
      <w:tblPr/>
      <w:tcPr>
        <w:shd w:color="000000" w:fill="000000" w:themeColor="text1" w:themeFill="text1" w:val="clear"/>
      </w:tcPr>
    </w:tblStylePr>
    <w:tblStylePr w:type="band1Vert">
      <w:tblPr/>
      <w:tcPr>
        <w:shd w:color="8A8A8A" w:fill="8A8A8A" w:themeColor="text1" w:themeFill="text1" w:themeFillTint="75" w:themeTint="75" w:val="clear"/>
      </w:tcPr>
    </w:tblStylePr>
    <w:tblStylePr w:type="band1Horz">
      <w:tblPr/>
      <w:tcPr>
        <w:shd w:color="8A8A8A" w:fill="8A8A8A" w:themeColor="text1" w:themeFill="text1" w:themeFillTint="75" w:themeTint="75" w:val="clear"/>
      </w:tcPr>
    </w:tblStylePr>
  </w:style>
  <w:style w:customStyle="1" w:styleId="GridTable5Dark-Accent1" w:type="table">
    <w:name w:val="Grid Table 5 Dark- Accent 1"/>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5F1" w:fill="DAE5F1" w:themeColor="accent1" w:themeFill="accent1" w:themeFillTint="34" w:themeTint="34" w:val="clear"/>
    </w:tblPr>
    <w:tblStylePr w:type="firstRow">
      <w:rPr>
        <w:rFonts w:ascii="Arial" w:hAnsi="Arial"/>
        <w:b/>
        <w:color w:val="FFFFFF"/>
        <w:sz w:val="22"/>
      </w:rPr>
      <w:tblPr/>
      <w:tcPr>
        <w:shd w:color="4F81BD" w:fill="4F81BD" w:themeColor="accent1" w:themeFill="accent1" w:val="clear"/>
      </w:tcPr>
    </w:tblStylePr>
    <w:tblStylePr w:type="lastRow">
      <w:rPr>
        <w:rFonts w:ascii="Arial" w:hAnsi="Arial"/>
        <w:b/>
        <w:color w:val="FFFFFF"/>
        <w:sz w:val="22"/>
      </w:rPr>
      <w:tblPr/>
      <w:tcPr>
        <w:tcBorders>
          <w:top w:color="FFFFFF" w:space="0" w:sz="4" w:themeColor="light1" w:val="single"/>
        </w:tcBorders>
        <w:shd w:color="4F81BD" w:fill="4F81BD" w:themeColor="accent1" w:themeFill="accent1" w:val="clear"/>
      </w:tcPr>
    </w:tblStylePr>
    <w:tblStylePr w:type="firstCol">
      <w:rPr>
        <w:rFonts w:ascii="Arial" w:hAnsi="Arial"/>
        <w:b/>
        <w:color w:val="FFFFFF"/>
        <w:sz w:val="22"/>
      </w:rPr>
      <w:tblPr/>
      <w:tcPr>
        <w:shd w:color="4F81BD" w:fill="4F81BD" w:themeColor="accent1" w:themeFill="accent1" w:val="clear"/>
      </w:tcPr>
    </w:tblStylePr>
    <w:tblStylePr w:type="lastCol">
      <w:rPr>
        <w:rFonts w:ascii="Arial" w:hAnsi="Arial"/>
        <w:b/>
        <w:color w:val="FFFFFF"/>
        <w:sz w:val="22"/>
      </w:rPr>
      <w:tblPr/>
      <w:tcPr>
        <w:shd w:color="4F81BD" w:fill="4F81BD" w:themeColor="accent1" w:themeFill="accent1" w:val="clear"/>
      </w:tcPr>
    </w:tblStylePr>
    <w:tblStylePr w:type="band1Vert">
      <w:tblPr/>
      <w:tcPr>
        <w:shd w:color="AEC4E0" w:fill="AEC4E0" w:themeColor="accent1" w:themeFill="accent1" w:themeFillTint="75" w:themeTint="75" w:val="clear"/>
      </w:tcPr>
    </w:tblStylePr>
    <w:tblStylePr w:type="band1Horz">
      <w:tblPr/>
      <w:tcPr>
        <w:shd w:color="AEC4E0" w:fill="AEC4E0" w:themeColor="accent1" w:themeFill="accent1" w:themeFillTint="75" w:themeTint="75" w:val="clear"/>
      </w:tcPr>
    </w:tblStylePr>
  </w:style>
  <w:style w:styleId="GridTable5Dark-Accent2" w:type="table">
    <w:name w:val="Grid Table 5 Dark Accent 2"/>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2DCDC" w:fill="F2DCDC" w:themeColor="accent2" w:themeFill="accent2" w:themeFillTint="32" w:themeTint="32" w:val="clear"/>
    </w:tblPr>
    <w:tblStylePr w:type="firstRow">
      <w:rPr>
        <w:rFonts w:ascii="Arial" w:hAnsi="Arial"/>
        <w:b/>
        <w:color w:val="FFFFFF"/>
        <w:sz w:val="22"/>
      </w:rPr>
      <w:tblPr/>
      <w:tcPr>
        <w:shd w:color="C0504D" w:fill="C0504D" w:themeColor="accent2" w:themeFill="accent2" w:val="clear"/>
      </w:tcPr>
    </w:tblStylePr>
    <w:tblStylePr w:type="lastRow">
      <w:rPr>
        <w:rFonts w:ascii="Arial" w:hAnsi="Arial"/>
        <w:b/>
        <w:color w:val="FFFFFF"/>
        <w:sz w:val="22"/>
      </w:rPr>
      <w:tblPr/>
      <w:tcPr>
        <w:tcBorders>
          <w:top w:color="FFFFFF" w:space="0" w:sz="4" w:themeColor="light1" w:val="single"/>
        </w:tcBorders>
        <w:shd w:color="C0504D" w:fill="C0504D" w:themeColor="accent2" w:themeFill="accent2" w:val="clear"/>
      </w:tcPr>
    </w:tblStylePr>
    <w:tblStylePr w:type="firstCol">
      <w:rPr>
        <w:rFonts w:ascii="Arial" w:hAnsi="Arial"/>
        <w:b/>
        <w:color w:val="FFFFFF"/>
        <w:sz w:val="22"/>
      </w:rPr>
      <w:tblPr/>
      <w:tcPr>
        <w:shd w:color="C0504D" w:fill="C0504D" w:themeColor="accent2" w:themeFill="accent2" w:val="clear"/>
      </w:tcPr>
    </w:tblStylePr>
    <w:tblStylePr w:type="lastCol">
      <w:rPr>
        <w:rFonts w:ascii="Arial" w:hAnsi="Arial"/>
        <w:b/>
        <w:color w:val="FFFFFF"/>
        <w:sz w:val="22"/>
      </w:rPr>
      <w:tblPr/>
      <w:tcPr>
        <w:shd w:color="C0504D" w:fill="C0504D" w:themeColor="accent2" w:themeFill="accent2" w:val="clear"/>
      </w:tcPr>
    </w:tblStylePr>
    <w:tblStylePr w:type="band1Vert">
      <w:tblPr/>
      <w:tcPr>
        <w:shd w:color="E2AEAD" w:fill="E2AEAD" w:themeColor="accent2" w:themeFill="accent2" w:themeFillTint="75" w:themeTint="75" w:val="clear"/>
      </w:tcPr>
    </w:tblStylePr>
    <w:tblStylePr w:type="band1Horz">
      <w:tblPr/>
      <w:tcPr>
        <w:shd w:color="E2AEAD" w:fill="E2AEAD" w:themeColor="accent2" w:themeFill="accent2" w:themeFillTint="75" w:themeTint="75" w:val="clear"/>
      </w:tcPr>
    </w:tblStylePr>
  </w:style>
  <w:style w:styleId="GridTable5Dark-Accent3" w:type="table">
    <w:name w:val="Grid Table 5 Dark Accent 3"/>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AF1DC" w:fill="EAF1DC" w:themeColor="accent3" w:themeFill="accent3" w:themeFillTint="34" w:themeTint="34" w:val="clear"/>
    </w:tblPr>
    <w:tblStylePr w:type="firstRow">
      <w:rPr>
        <w:rFonts w:ascii="Arial" w:hAnsi="Arial"/>
        <w:b/>
        <w:color w:val="FFFFFF"/>
        <w:sz w:val="22"/>
      </w:rPr>
      <w:tblPr/>
      <w:tcPr>
        <w:shd w:color="9BBB59" w:fill="9BBB59" w:themeColor="accent3" w:themeFill="accent3" w:val="clear"/>
      </w:tcPr>
    </w:tblStylePr>
    <w:tblStylePr w:type="lastRow">
      <w:rPr>
        <w:rFonts w:ascii="Arial" w:hAnsi="Arial"/>
        <w:b/>
        <w:color w:val="FFFFFF"/>
        <w:sz w:val="22"/>
      </w:rPr>
      <w:tblPr/>
      <w:tcPr>
        <w:tcBorders>
          <w:top w:color="FFFFFF" w:space="0" w:sz="4" w:themeColor="light1" w:val="single"/>
        </w:tcBorders>
        <w:shd w:color="9BBB59" w:fill="9BBB59" w:themeColor="accent3" w:themeFill="accent3" w:val="clear"/>
      </w:tcPr>
    </w:tblStylePr>
    <w:tblStylePr w:type="firstCol">
      <w:rPr>
        <w:rFonts w:ascii="Arial" w:hAnsi="Arial"/>
        <w:b/>
        <w:color w:val="FFFFFF"/>
        <w:sz w:val="22"/>
      </w:rPr>
      <w:tblPr/>
      <w:tcPr>
        <w:shd w:color="9BBB59" w:fill="9BBB59" w:themeColor="accent3" w:themeFill="accent3" w:val="clear"/>
      </w:tcPr>
    </w:tblStylePr>
    <w:tblStylePr w:type="lastCol">
      <w:rPr>
        <w:rFonts w:ascii="Arial" w:hAnsi="Arial"/>
        <w:b/>
        <w:color w:val="FFFFFF"/>
        <w:sz w:val="22"/>
      </w:rPr>
      <w:tblPr/>
      <w:tcPr>
        <w:shd w:color="9BBB59" w:fill="9BBB59" w:themeColor="accent3" w:themeFill="accent3" w:val="clear"/>
      </w:tcPr>
    </w:tblStylePr>
    <w:tblStylePr w:type="band1Vert">
      <w:tblPr/>
      <w:tcPr>
        <w:shd w:color="D0DFB2" w:fill="D0DFB2" w:themeColor="accent3" w:themeFill="accent3" w:themeFillTint="75" w:themeTint="75" w:val="clear"/>
      </w:tcPr>
    </w:tblStylePr>
    <w:tblStylePr w:type="band1Horz">
      <w:tblPr/>
      <w:tcPr>
        <w:shd w:color="D0DFB2" w:fill="D0DFB2" w:themeColor="accent3" w:themeFill="accent3" w:themeFillTint="75" w:themeTint="75" w:val="clear"/>
      </w:tcPr>
    </w:tblStylePr>
  </w:style>
  <w:style w:customStyle="1" w:styleId="GridTable5Dark-Accent4" w:type="table">
    <w:name w:val="Grid Table 5 Dark- Accent 4"/>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5DFEC" w:fill="E5DFEC" w:themeColor="accent4" w:themeFill="accent4" w:themeFillTint="34" w:themeTint="34" w:val="clear"/>
    </w:tblPr>
    <w:tblStylePr w:type="firstRow">
      <w:rPr>
        <w:rFonts w:ascii="Arial" w:hAnsi="Arial"/>
        <w:b/>
        <w:color w:val="FFFFFF"/>
        <w:sz w:val="22"/>
      </w:rPr>
      <w:tblPr/>
      <w:tcPr>
        <w:shd w:color="8064A2" w:fill="8064A2" w:themeColor="accent4" w:themeFill="accent4" w:val="clear"/>
      </w:tcPr>
    </w:tblStylePr>
    <w:tblStylePr w:type="lastRow">
      <w:rPr>
        <w:rFonts w:ascii="Arial" w:hAnsi="Arial"/>
        <w:b/>
        <w:color w:val="FFFFFF"/>
        <w:sz w:val="22"/>
      </w:rPr>
      <w:tblPr/>
      <w:tcPr>
        <w:tcBorders>
          <w:top w:color="FFFFFF" w:space="0" w:sz="4" w:themeColor="light1" w:val="single"/>
        </w:tcBorders>
        <w:shd w:color="8064A2" w:fill="8064A2" w:themeColor="accent4" w:themeFill="accent4" w:val="clear"/>
      </w:tcPr>
    </w:tblStylePr>
    <w:tblStylePr w:type="firstCol">
      <w:rPr>
        <w:rFonts w:ascii="Arial" w:hAnsi="Arial"/>
        <w:b/>
        <w:color w:val="FFFFFF"/>
        <w:sz w:val="22"/>
      </w:rPr>
      <w:tblPr/>
      <w:tcPr>
        <w:shd w:color="8064A2" w:fill="8064A2" w:themeColor="accent4" w:themeFill="accent4" w:val="clear"/>
      </w:tcPr>
    </w:tblStylePr>
    <w:tblStylePr w:type="lastCol">
      <w:rPr>
        <w:rFonts w:ascii="Arial" w:hAnsi="Arial"/>
        <w:b/>
        <w:color w:val="FFFFFF"/>
        <w:sz w:val="22"/>
      </w:rPr>
      <w:tblPr/>
      <w:tcPr>
        <w:shd w:color="8064A2" w:fill="8064A2" w:themeColor="accent4" w:themeFill="accent4" w:val="clear"/>
      </w:tcPr>
    </w:tblStylePr>
    <w:tblStylePr w:type="band1Vert">
      <w:tblPr/>
      <w:tcPr>
        <w:shd w:color="C4B7D4" w:fill="C4B7D4" w:themeColor="accent4" w:themeFill="accent4" w:themeFillTint="75" w:themeTint="75" w:val="clear"/>
      </w:tcPr>
    </w:tblStylePr>
    <w:tblStylePr w:type="band1Horz">
      <w:tblPr/>
      <w:tcPr>
        <w:shd w:color="C4B7D4" w:fill="C4B7D4" w:themeColor="accent4" w:themeFill="accent4" w:themeFillTint="75" w:themeTint="75" w:val="clear"/>
      </w:tcPr>
    </w:tblStylePr>
  </w:style>
  <w:style w:styleId="GridTable5Dark-Accent5" w:type="table">
    <w:name w:val="Grid Table 5 Dark Accent 5"/>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EF3" w:fill="DAEEF3" w:themeColor="accent5" w:themeFill="accent5" w:themeFillTint="34" w:themeTint="34" w:val="clear"/>
    </w:tblPr>
    <w:tblStylePr w:type="firstRow">
      <w:rPr>
        <w:rFonts w:ascii="Arial" w:hAnsi="Arial"/>
        <w:b/>
        <w:color w:val="FFFFFF"/>
        <w:sz w:val="22"/>
      </w:rPr>
      <w:tblPr/>
      <w:tcPr>
        <w:shd w:color="4BACC6" w:fill="4BACC6" w:themeColor="accent5" w:themeFill="accent5" w:val="clear"/>
      </w:tcPr>
    </w:tblStylePr>
    <w:tblStylePr w:type="lastRow">
      <w:rPr>
        <w:rFonts w:ascii="Arial" w:hAnsi="Arial"/>
        <w:b/>
        <w:color w:val="FFFFFF"/>
        <w:sz w:val="22"/>
      </w:rPr>
      <w:tblPr/>
      <w:tcPr>
        <w:tcBorders>
          <w:top w:color="FFFFFF" w:space="0" w:sz="4" w:themeColor="light1" w:val="single"/>
        </w:tcBorders>
        <w:shd w:color="4BACC6" w:fill="4BACC6" w:themeColor="accent5" w:themeFill="accent5" w:val="clear"/>
      </w:tcPr>
    </w:tblStylePr>
    <w:tblStylePr w:type="firstCol">
      <w:rPr>
        <w:rFonts w:ascii="Arial" w:hAnsi="Arial"/>
        <w:b/>
        <w:color w:val="FFFFFF"/>
        <w:sz w:val="22"/>
      </w:rPr>
      <w:tblPr/>
      <w:tcPr>
        <w:shd w:color="4BACC6" w:fill="4BACC6" w:themeColor="accent5" w:themeFill="accent5" w:val="clear"/>
      </w:tcPr>
    </w:tblStylePr>
    <w:tblStylePr w:type="lastCol">
      <w:rPr>
        <w:rFonts w:ascii="Arial" w:hAnsi="Arial"/>
        <w:b/>
        <w:color w:val="FFFFFF"/>
        <w:sz w:val="22"/>
      </w:rPr>
      <w:tblPr/>
      <w:tcPr>
        <w:shd w:color="4BACC6" w:fill="4BACC6" w:themeColor="accent5" w:themeFill="accent5" w:val="clear"/>
      </w:tcPr>
    </w:tblStylePr>
    <w:tblStylePr w:type="band1Vert">
      <w:tblPr/>
      <w:tcPr>
        <w:shd w:color="ACD8E4" w:fill="ACD8E4" w:themeColor="accent5" w:themeFill="accent5" w:themeFillTint="75" w:themeTint="75" w:val="clear"/>
      </w:tcPr>
    </w:tblStylePr>
    <w:tblStylePr w:type="band1Horz">
      <w:tblPr/>
      <w:tcPr>
        <w:shd w:color="ACD8E4" w:fill="ACD8E4" w:themeColor="accent5" w:themeFill="accent5" w:themeFillTint="75" w:themeTint="75" w:val="clear"/>
      </w:tcPr>
    </w:tblStylePr>
  </w:style>
  <w:style w:styleId="GridTable5Dark-Accent6" w:type="table">
    <w:name w:val="Grid Table 5 Dark Accent 6"/>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DE9D8" w:fill="FDE9D8" w:themeColor="accent6" w:themeFill="accent6" w:themeFillTint="34" w:themeTint="34" w:val="clear"/>
    </w:tblPr>
    <w:tblStylePr w:type="firstRow">
      <w:rPr>
        <w:rFonts w:ascii="Arial" w:hAnsi="Arial"/>
        <w:b/>
        <w:color w:val="FFFFFF"/>
        <w:sz w:val="22"/>
      </w:rPr>
      <w:tblPr/>
      <w:tcPr>
        <w:shd w:color="F79646" w:fill="F79646" w:themeColor="accent6" w:themeFill="accent6" w:val="clear"/>
      </w:tcPr>
    </w:tblStylePr>
    <w:tblStylePr w:type="lastRow">
      <w:rPr>
        <w:rFonts w:ascii="Arial" w:hAnsi="Arial"/>
        <w:b/>
        <w:color w:val="FFFFFF"/>
        <w:sz w:val="22"/>
      </w:rPr>
      <w:tblPr/>
      <w:tcPr>
        <w:tcBorders>
          <w:top w:color="FFFFFF" w:space="0" w:sz="4" w:themeColor="light1" w:val="single"/>
        </w:tcBorders>
        <w:shd w:color="F79646" w:fill="F79646" w:themeColor="accent6" w:themeFill="accent6" w:val="clear"/>
      </w:tcPr>
    </w:tblStylePr>
    <w:tblStylePr w:type="firstCol">
      <w:rPr>
        <w:rFonts w:ascii="Arial" w:hAnsi="Arial"/>
        <w:b/>
        <w:color w:val="FFFFFF"/>
        <w:sz w:val="22"/>
      </w:rPr>
      <w:tblPr/>
      <w:tcPr>
        <w:shd w:color="F79646" w:fill="F79646" w:themeColor="accent6" w:themeFill="accent6" w:val="clear"/>
      </w:tcPr>
    </w:tblStylePr>
    <w:tblStylePr w:type="lastCol">
      <w:rPr>
        <w:rFonts w:ascii="Arial" w:hAnsi="Arial"/>
        <w:b/>
        <w:color w:val="FFFFFF"/>
        <w:sz w:val="22"/>
      </w:rPr>
      <w:tblPr/>
      <w:tcPr>
        <w:shd w:color="F79646" w:fill="F79646" w:themeColor="accent6" w:themeFill="accent6" w:val="clear"/>
      </w:tcPr>
    </w:tblStylePr>
    <w:tblStylePr w:type="band1Vert">
      <w:tblPr/>
      <w:tcPr>
        <w:shd w:color="FBCEAA" w:fill="FBCEAA" w:themeColor="accent6" w:themeFill="accent6" w:themeFillTint="75" w:themeTint="75" w:val="clear"/>
      </w:tcPr>
    </w:tblStylePr>
    <w:tblStylePr w:type="band1Horz">
      <w:tblPr/>
      <w:tcPr>
        <w:shd w:color="FBCEAA" w:fill="FBCEAA" w:themeColor="accent6" w:themeFill="accent6" w:themeFillTint="75" w:themeTint="75" w:val="clear"/>
      </w:tcPr>
    </w:tblStylePr>
  </w:style>
  <w:style w:styleId="GridTable6Colorful" w:type="table">
    <w:name w:val="Grid Table 6 Colorful"/>
    <w:basedOn w:val="TableNormal"/>
    <w:uiPriority w:val="99"/>
    <w:tblPr>
      <w:tblStyleRowBandSize w:val="1"/>
      <w:tblStyleColBandSize w:val="1"/>
      <w:tblBorders>
        <w:top w:color="7F7F7F" w:space="0" w:sz="4" w:themeColor="text1" w:themeTint="80" w:val="single"/>
        <w:left w:color="7F7F7F" w:space="0" w:sz="4" w:themeColor="text1" w:themeTint="80" w:val="single"/>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b/>
        <w:color w:themeColor="text1" w:themeShade="95" w:themeTint="80" w:val="7F7F7F"/>
      </w:rPr>
      <w:tblPr/>
      <w:tcPr>
        <w:tcBorders>
          <w:bottom w:color="7F7F7F" w:space="0" w:sz="12" w:themeColor="text1" w:themeTint="80" w:val="single"/>
        </w:tcBorders>
      </w:tcPr>
    </w:tblStylePr>
    <w:tblStylePr w:type="lastRow">
      <w:rPr>
        <w:b/>
        <w:color w:themeColor="text1" w:themeShade="95" w:themeTint="80" w:val="7F7F7F"/>
      </w:rPr>
    </w:tblStylePr>
    <w:tblStylePr w:type="firstCol">
      <w:rPr>
        <w:b/>
        <w:color w:themeColor="text1" w:themeShade="95" w:themeTint="80" w:val="7F7F7F"/>
      </w:rPr>
    </w:tblStylePr>
    <w:tblStylePr w:type="lastCol">
      <w:rPr>
        <w:b/>
        <w:color w:themeColor="text1" w:themeShade="95" w:themeTint="80" w:val="7F7F7F"/>
      </w:rPr>
    </w:tblStylePr>
    <w:tblStylePr w:type="band1Vert">
      <w:tblPr/>
      <w:tcPr>
        <w:shd w:color="CBCBCB" w:fill="CBCBCB" w:themeColor="text1" w:themeFill="text1" w:themeFillTint="34" w:themeTint="34" w:val="clear"/>
      </w:tcPr>
    </w:tblStylePr>
    <w:tblStylePr w:type="band1Horz">
      <w:rPr>
        <w:rFonts w:ascii="Arial" w:hAnsi="Arial"/>
        <w:color w:themeColor="text1" w:themeShade="95" w:themeTint="80" w:val="7F7F7F"/>
        <w:sz w:val="22"/>
      </w:rPr>
      <w:tblPr/>
      <w:tcPr>
        <w:shd w:color="CBCBCB" w:fill="CBCBCB" w:themeColor="text1" w:themeFill="text1" w:themeFillTint="34" w:themeTint="34" w:val="clear"/>
      </w:tcPr>
    </w:tblStylePr>
    <w:tblStylePr w:type="band2Horz">
      <w:rPr>
        <w:rFonts w:ascii="Arial" w:hAnsi="Arial"/>
        <w:color w:themeColor="text1" w:themeShade="95" w:themeTint="80" w:val="7F7F7F"/>
        <w:sz w:val="22"/>
      </w:rPr>
    </w:tblStylePr>
  </w:style>
  <w:style w:styleId="GridTable6Colorful-Accent1" w:type="table">
    <w:name w:val="Grid Table 6 Colorful Accent 1"/>
    <w:basedOn w:val="TableNormal"/>
    <w:uiPriority w:val="99"/>
    <w:tblPr>
      <w:tblStyleRowBandSize w:val="1"/>
      <w:tblStyleColBandSize w:val="1"/>
      <w:tblBorders>
        <w:top w:color="A6BFDD" w:space="0" w:sz="4" w:themeColor="accent1" w:themeTint="80" w:val="single"/>
        <w:left w:color="A6BFDD" w:space="0" w:sz="4" w:themeColor="accent1" w:themeTint="80" w:val="single"/>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b/>
        <w:color w:themeColor="accent1" w:themeShade="95" w:themeTint="80" w:val="A6BFDD"/>
      </w:rPr>
      <w:tblPr/>
      <w:tcPr>
        <w:tcBorders>
          <w:bottom w:color="A6BFDD" w:space="0" w:sz="12" w:themeColor="accent1" w:themeTint="80" w:val="single"/>
        </w:tcBorders>
      </w:tcPr>
    </w:tblStylePr>
    <w:tblStylePr w:type="lastRow">
      <w:rPr>
        <w:b/>
        <w:color w:themeColor="accent1" w:themeShade="95" w:themeTint="80" w:val="A6BFDD"/>
      </w:rPr>
    </w:tblStylePr>
    <w:tblStylePr w:type="firstCol">
      <w:rPr>
        <w:b/>
        <w:color w:themeColor="accent1" w:themeShade="95" w:themeTint="80" w:val="A6BFDD"/>
      </w:rPr>
    </w:tblStylePr>
    <w:tblStylePr w:type="lastCol">
      <w:rPr>
        <w:b/>
        <w:color w:themeColor="accent1" w:themeShade="95" w:themeTint="80" w:val="A6BFDD"/>
      </w:r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6Colorful-Accent2" w:type="table">
    <w:name w:val="Grid Table 6 Colorful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themeColor="accent2" w:themeShade="95" w:themeTint="97" w:val="D99695"/>
      </w:rPr>
      <w:tblPr/>
      <w:tcPr>
        <w:tcBorders>
          <w:bottom w:color="D99695" w:space="0" w:sz="12" w:themeColor="accent2" w:themeTint="97" w:val="single"/>
        </w:tcBorders>
      </w:tcPr>
    </w:tblStylePr>
    <w:tblStylePr w:type="lastRow">
      <w:rPr>
        <w:b/>
        <w:color w:themeColor="accent2" w:themeShade="95" w:themeTint="97" w:val="D99695"/>
      </w:r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6Colorful-Accent3" w:type="table">
    <w:name w:val="Grid Table 6 Colorful Accent 3"/>
    <w:basedOn w:val="TableNormal"/>
    <w:uiPriority w:val="99"/>
    <w:tblPr>
      <w:tblStyleRowBandSize w:val="1"/>
      <w:tblStyleColBandSize w:val="1"/>
      <w:tbl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themeColor="accent3" w:themeShade="95" w:themeTint="FE" w:val="9ABB59"/>
      </w:rPr>
      <w:tblPr/>
      <w:tcPr>
        <w:tcBorders>
          <w:bottom w:color="9ABB59" w:space="0" w:sz="12" w:themeColor="accent3" w:themeTint="FE" w:val="single"/>
        </w:tcBorders>
      </w:tcPr>
    </w:tblStylePr>
    <w:tblStylePr w:type="lastRow">
      <w:rPr>
        <w:b/>
        <w:color w:themeColor="accent3" w:themeShade="95" w:themeTint="FE" w:val="9ABB59"/>
      </w:rPr>
    </w:tblStylePr>
    <w:tblStylePr w:type="firstCol">
      <w:rPr>
        <w:b/>
        <w:color w:themeColor="accent3" w:themeShade="95" w:themeTint="FE" w:val="9ABB59"/>
      </w:rPr>
    </w:tblStylePr>
    <w:tblStylePr w:type="lastCol">
      <w:rPr>
        <w:b/>
        <w:color w:themeColor="accent3" w:themeShade="95" w:themeTint="FE" w:val="9ABB59"/>
      </w:r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6Colorful-Accent4" w:type="table">
    <w:name w:val="Grid Table 6 Colorful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themeColor="accent4" w:themeShade="95" w:themeTint="9A" w:val="B2A1C6"/>
      </w:rPr>
      <w:tblPr/>
      <w:tcPr>
        <w:tcBorders>
          <w:bottom w:color="B2A1C6" w:space="0" w:sz="12" w:themeColor="accent4" w:themeTint="9A" w:val="single"/>
        </w:tcBorders>
      </w:tcPr>
    </w:tblStylePr>
    <w:tblStylePr w:type="lastRow">
      <w:rPr>
        <w:b/>
        <w:color w:themeColor="accent4" w:themeShade="95" w:themeTint="9A" w:val="B2A1C6"/>
      </w:r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6Colorful-Accent5" w:type="table">
    <w:name w:val="Grid Table 6 Colorful Accent 5"/>
    <w:basedOn w:val="TableNormal"/>
    <w:uiPriority w:val="99"/>
    <w:tblPr>
      <w:tblStyleRowBandSize w:val="1"/>
      <w:tblStyleColBandSize w:val="1"/>
      <w:tblBorders>
        <w:top w:color="4BACC6" w:space="0" w:sz="4" w:themeColor="accent5" w:val="single"/>
        <w:left w:color="4BACC6" w:space="0" w:sz="4" w:themeColor="accent5" w:val="single"/>
        <w:bottom w:color="4BACC6" w:space="0" w:sz="4" w:themeColor="accent5" w:val="single"/>
        <w:right w:color="4BACC6" w:space="0" w:sz="4" w:themeColor="accent5" w:val="single"/>
        <w:insideH w:color="4BACC6" w:space="0" w:sz="4" w:themeColor="accent5" w:val="single"/>
        <w:insideV w:color="4BACC6" w:space="0" w:sz="4" w:themeColor="accent5" w:val="single"/>
      </w:tblBorders>
    </w:tblPr>
    <w:tblStylePr w:type="firstRow">
      <w:rPr>
        <w:b/>
        <w:color w:themeColor="accent5" w:themeShade="95" w:val="266779"/>
      </w:rPr>
      <w:tblPr/>
      <w:tcPr>
        <w:tcBorders>
          <w:bottom w:color="4BACC6" w:space="0" w:sz="12" w:themeColor="accent5"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6Colorful-Accent6" w:type="table">
    <w:name w:val="Grid Table 6 Colorful Accent 6"/>
    <w:basedOn w:val="TableNormal"/>
    <w:uiPriority w:val="99"/>
    <w:tblPr>
      <w:tblStyleRowBandSize w:val="1"/>
      <w:tblStyleColBandSize w:val="1"/>
      <w:tblBorders>
        <w:top w:color="F79646" w:space="0" w:sz="4" w:themeColor="accent6" w:val="single"/>
        <w:left w:color="F79646" w:space="0" w:sz="4" w:themeColor="accent6" w:val="single"/>
        <w:bottom w:color="F79646" w:space="0" w:sz="4" w:themeColor="accent6" w:val="single"/>
        <w:right w:color="F79646" w:space="0" w:sz="4" w:themeColor="accent6" w:val="single"/>
        <w:insideH w:color="F79646" w:space="0" w:sz="4" w:themeColor="accent6" w:val="single"/>
        <w:insideV w:color="F79646" w:space="0" w:sz="4" w:themeColor="accent6" w:val="single"/>
      </w:tblBorders>
    </w:tblPr>
    <w:tblStylePr w:type="firstRow">
      <w:rPr>
        <w:b/>
        <w:color w:themeColor="accent5" w:themeShade="95" w:val="266779"/>
      </w:rPr>
      <w:tblPr/>
      <w:tcPr>
        <w:tcBorders>
          <w:bottom w:color="F79646" w:space="0" w:sz="12" w:themeColor="accent6"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FDE9D8" w:fill="FDE9D8" w:themeColor="accent6" w:themeFill="accent6" w:themeFillTint="34" w:themeTint="34" w:val="clear"/>
      </w:tcPr>
    </w:tblStylePr>
    <w:tblStylePr w:type="band1Horz">
      <w:rPr>
        <w:rFonts w:ascii="Arial" w:hAnsi="Arial"/>
        <w:color w:themeColor="accent5" w:themeShade="95" w:val="266779"/>
        <w:sz w:val="22"/>
      </w:rPr>
      <w:tblPr/>
      <w:tcPr>
        <w:shd w:color="FDE9D8" w:fill="FDE9D8" w:themeColor="accent6" w:themeFill="accent6" w:themeFillTint="34" w:themeTint="34" w:val="clear"/>
      </w:tcPr>
    </w:tblStylePr>
    <w:tblStylePr w:type="band2Horz">
      <w:rPr>
        <w:rFonts w:ascii="Arial" w:hAnsi="Arial"/>
        <w:color w:themeColor="accent5" w:themeShade="95" w:val="266779"/>
        <w:sz w:val="22"/>
      </w:rPr>
    </w:tblStylePr>
  </w:style>
  <w:style w:styleId="GridTable7Colorful" w:type="table">
    <w:name w:val="Grid Table 7 Colorful"/>
    <w:basedOn w:val="TableNormal"/>
    <w:uiPriority w:val="99"/>
    <w:tblPr>
      <w:tblStyleRowBandSize w:val="1"/>
      <w:tblStyleColBandSize w:val="1"/>
      <w:tblBorders>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rFonts w:ascii="Arial" w:hAnsi="Arial"/>
        <w:b/>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b/>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F2F2F2" w:fill="F2F2F2" w:themeColor="text1" w:themeFill="text1" w:themeFillTint="0D" w:themeTint="0D" w:val="clear"/>
      </w:tcPr>
    </w:tblStylePr>
    <w:tblStylePr w:type="band1Horz">
      <w:rPr>
        <w:rFonts w:ascii="Arial" w:hAnsi="Arial"/>
        <w:color w:themeColor="text1" w:themeShade="95" w:themeTint="80" w:val="7F7F7F"/>
        <w:sz w:val="22"/>
      </w:rPr>
      <w:tblPr/>
      <w:tcPr>
        <w:shd w:color="F2F2F2" w:fill="F2F2F2" w:themeColor="text1" w:themeFill="text1" w:themeFillTint="0D" w:themeTint="0D" w:val="clear"/>
      </w:tcPr>
    </w:tblStylePr>
    <w:tblStylePr w:type="band2Horz">
      <w:rPr>
        <w:rFonts w:ascii="Arial" w:hAnsi="Arial"/>
        <w:color w:themeColor="text1" w:themeShade="95" w:themeTint="80" w:val="7F7F7F"/>
        <w:sz w:val="22"/>
      </w:rPr>
    </w:tblStylePr>
  </w:style>
  <w:style w:styleId="GridTable7Colorful-Accent1" w:type="table">
    <w:name w:val="Grid Table 7 Colorful Accent 1"/>
    <w:basedOn w:val="TableNormal"/>
    <w:uiPriority w:val="99"/>
    <w:tblPr>
      <w:tblStyleRowBandSize w:val="1"/>
      <w:tblStyleColBandSize w:val="1"/>
      <w:tblBorders>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rFonts w:ascii="Arial" w:hAnsi="Arial"/>
        <w:b/>
        <w:color w:themeColor="accent1" w:themeShade="95" w:themeTint="80" w:val="A6BFDD"/>
        <w:sz w:val="22"/>
      </w:rPr>
      <w:tblPr/>
      <w:tcPr>
        <w:tcBorders>
          <w:top w:color="000000" w:space="0" w:sz="4" w:val="none"/>
          <w:left w:color="000000" w:space="0" w:sz="4" w:val="none"/>
          <w:bottom w:color="A6BFDD" w:space="0" w:sz="4" w:themeColor="accent1" w:themeTint="80" w:val="single"/>
          <w:right w:color="000000" w:space="0" w:sz="4" w:val="none"/>
        </w:tcBorders>
        <w:shd w:color="FFFFFF" w:fill="FFFFFF" w:themeColor="light1" w:themeFill="light1" w:val="clear"/>
      </w:tcPr>
    </w:tblStylePr>
    <w:tblStylePr w:type="lastRow">
      <w:rPr>
        <w:rFonts w:ascii="Arial" w:hAnsi="Arial"/>
        <w:b/>
        <w:color w:themeColor="accent1" w:themeShade="95" w:themeTint="80" w:val="A6BFDD"/>
        <w:sz w:val="22"/>
      </w:rPr>
      <w:tblPr/>
      <w:tcPr>
        <w:tcBorders>
          <w:top w:color="A6BFDD" w:space="0" w:sz="4" w:themeColor="accen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themeTint="80" w:val="A6BFDD"/>
        <w:sz w:val="22"/>
      </w:rPr>
      <w:tblPr/>
      <w:tcPr>
        <w:tcBorders>
          <w:top w:color="000000" w:space="0" w:sz="4" w:val="none"/>
          <w:left w:color="000000" w:space="0" w:sz="4" w:val="none"/>
          <w:bottom w:color="000000" w:space="0" w:sz="4" w:val="none"/>
          <w:right w:color="A6BFDD" w:space="0" w:sz="4" w:themeColor="accent1" w:themeTint="80" w:val="single"/>
        </w:tcBorders>
        <w:shd w:color="FFFFFF" w:fill="auto" w:val="clear"/>
      </w:tcPr>
    </w:tblStylePr>
    <w:tblStylePr w:type="lastCol">
      <w:rPr>
        <w:rFonts w:ascii="Arial" w:hAnsi="Arial"/>
        <w:i/>
        <w:color w:themeColor="accent1" w:themeShade="95" w:themeTint="80" w:val="A6BFDD"/>
        <w:sz w:val="22"/>
      </w:rPr>
      <w:tblPr/>
      <w:tcPr>
        <w:tcBorders>
          <w:top w:color="000000" w:space="0" w:sz="4" w:val="none"/>
          <w:left w:color="A6BFDD" w:space="0" w:sz="4" w:themeColor="accent1" w:themeTint="80" w:val="single"/>
          <w:bottom w:color="000000" w:space="0" w:sz="4" w:val="none"/>
          <w:right w:color="000000" w:space="0" w:sz="4" w:val="none"/>
        </w:tcBorders>
        <w:shd w:color="FFFFFF" w:fill="auto" w:val="clear"/>
      </w:tc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7Colorful-Accent2" w:type="table">
    <w:name w:val="Grid Table 7 Colorful Accent 2"/>
    <w:basedOn w:val="TableNormal"/>
    <w:uiPriority w:val="99"/>
    <w:tblPr>
      <w:tblStyleRowBandSize w:val="1"/>
      <w:tblStyleColBandSize w:val="1"/>
      <w:tblBorders>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rFonts w:ascii="Arial" w:hAnsi="Arial"/>
        <w:b/>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b/>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7Colorful-Accent3" w:type="table">
    <w:name w:val="Grid Table 7 Colorful Accent 3"/>
    <w:basedOn w:val="TableNormal"/>
    <w:uiPriority w:val="99"/>
    <w:tblPr>
      <w:tblStyleRowBandSize w:val="1"/>
      <w:tblStyleColBandSize w:val="1"/>
      <w:tblBorders>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rFonts w:ascii="Arial" w:hAnsi="Arial"/>
        <w:b/>
        <w:color w:themeColor="accent3" w:themeShade="95" w:themeTint="FE" w:val="9ABB59"/>
        <w:sz w:val="22"/>
      </w:rPr>
      <w:tblPr/>
      <w:tcPr>
        <w:tcBorders>
          <w:top w:color="000000" w:space="0" w:sz="4" w:val="none"/>
          <w:left w:color="000000" w:space="0" w:sz="4" w:val="none"/>
          <w:bottom w:color="9ABB59" w:space="0" w:sz="4" w:themeColor="accent3" w:themeTint="FE" w:val="single"/>
          <w:right w:color="000000" w:space="0" w:sz="4" w:val="none"/>
        </w:tcBorders>
        <w:shd w:color="FFFFFF" w:fill="FFFFFF" w:themeColor="light1" w:themeFill="light1" w:val="clear"/>
      </w:tcPr>
    </w:tblStylePr>
    <w:tblStylePr w:type="lastRow">
      <w:rPr>
        <w:rFonts w:ascii="Arial" w:hAnsi="Arial"/>
        <w:b/>
        <w:color w:themeColor="accent3" w:themeShade="95" w:themeTint="FE" w:val="9ABB59"/>
        <w:sz w:val="22"/>
      </w:rPr>
      <w:tblPr/>
      <w:tcPr>
        <w:tcBorders>
          <w:top w:color="9ABB59" w:space="0" w:sz="4" w:themeColor="accent3" w:themeTint="FE"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FE" w:val="9ABB59"/>
        <w:sz w:val="22"/>
      </w:rPr>
      <w:tblPr/>
      <w:tcPr>
        <w:tcBorders>
          <w:top w:color="000000" w:space="0" w:sz="4" w:val="none"/>
          <w:left w:color="000000" w:space="0" w:sz="4" w:val="none"/>
          <w:bottom w:color="000000" w:space="0" w:sz="4" w:val="none"/>
          <w:right w:color="9ABB59" w:space="0" w:sz="4" w:themeColor="accent3" w:themeTint="FE" w:val="single"/>
        </w:tcBorders>
        <w:shd w:color="FFFFFF" w:fill="auto" w:val="clear"/>
      </w:tcPr>
    </w:tblStylePr>
    <w:tblStylePr w:type="lastCol">
      <w:rPr>
        <w:rFonts w:ascii="Arial" w:hAnsi="Arial"/>
        <w:i/>
        <w:color w:themeColor="accent3" w:themeShade="95" w:themeTint="FE" w:val="9ABB59"/>
        <w:sz w:val="22"/>
      </w:rPr>
      <w:tblPr/>
      <w:tcPr>
        <w:tcBorders>
          <w:top w:color="000000" w:space="0" w:sz="4" w:val="none"/>
          <w:left w:color="9ABB59" w:space="0" w:sz="4" w:themeColor="accent3" w:themeTint="FE" w:val="single"/>
          <w:bottom w:color="000000" w:space="0" w:sz="4" w:val="none"/>
          <w:right w:color="000000" w:space="0" w:sz="4" w:val="none"/>
        </w:tcBorders>
        <w:shd w:color="FFFFFF" w:fill="auto" w:val="clear"/>
      </w:tc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7Colorful-Accent4" w:type="table">
    <w:name w:val="Grid Table 7 Colorful Accent 4"/>
    <w:basedOn w:val="TableNormal"/>
    <w:uiPriority w:val="99"/>
    <w:tblPr>
      <w:tblStyleRowBandSize w:val="1"/>
      <w:tblStyleColBandSize w:val="1"/>
      <w:tblBorders>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rFonts w:ascii="Arial" w:hAnsi="Arial"/>
        <w:b/>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b/>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7Colorful-Accent5" w:type="table">
    <w:name w:val="Grid Table 7 Colorful Accent 5"/>
    <w:basedOn w:val="TableNormal"/>
    <w:uiPriority w:val="99"/>
    <w:tblPr>
      <w:tblStyleRowBandSize w:val="1"/>
      <w:tblStyleColBandSize w:val="1"/>
      <w:tblBorders>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themeColor="accent5" w:themeShade="95" w:val="266779"/>
        <w:sz w:val="22"/>
      </w:rPr>
      <w:tblPr/>
      <w:tcPr>
        <w:tcBorders>
          <w:top w:color="000000" w:space="0" w:sz="4" w:val="none"/>
          <w:left w:color="000000" w:space="0" w:sz="4" w:val="none"/>
          <w:bottom w:color="99D0DE" w:space="0" w:sz="4" w:themeColor="accent5" w:themeTint="90" w:val="single"/>
          <w:right w:color="000000" w:space="0" w:sz="4" w:val="none"/>
        </w:tcBorders>
        <w:shd w:color="FFFFFF" w:fill="FFFFFF" w:themeColor="light1" w:themeFill="light1" w:val="clear"/>
      </w:tcPr>
    </w:tblStylePr>
    <w:tblStylePr w:type="lastRow">
      <w:rPr>
        <w:rFonts w:ascii="Arial" w:hAnsi="Arial"/>
        <w:b/>
        <w:color w:themeColor="accent5" w:themeShade="95" w:val="266779"/>
        <w:sz w:val="22"/>
      </w:rPr>
      <w:tblPr/>
      <w:tcPr>
        <w:tcBorders>
          <w:top w:color="99D0DE" w:space="0" w:sz="4" w:themeColor="accent5"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val="266779"/>
        <w:sz w:val="22"/>
      </w:rPr>
      <w:tblPr/>
      <w:tcPr>
        <w:tcBorders>
          <w:top w:color="000000" w:space="0" w:sz="4" w:val="none"/>
          <w:left w:color="000000" w:space="0" w:sz="4" w:val="none"/>
          <w:bottom w:color="000000" w:space="0" w:sz="4" w:val="none"/>
          <w:right w:color="99D0DE" w:space="0" w:sz="4" w:themeColor="accent5" w:themeTint="90" w:val="single"/>
        </w:tcBorders>
        <w:shd w:color="FFFFFF" w:fill="auto" w:val="clear"/>
      </w:tcPr>
    </w:tblStylePr>
    <w:tblStylePr w:type="lastCol">
      <w:rPr>
        <w:rFonts w:ascii="Arial" w:hAnsi="Arial"/>
        <w:i/>
        <w:color w:themeColor="accent5" w:themeShade="95" w:val="266779"/>
        <w:sz w:val="22"/>
      </w:rPr>
      <w:tblPr/>
      <w:tcPr>
        <w:tcBorders>
          <w:top w:color="000000" w:space="0" w:sz="4" w:val="none"/>
          <w:left w:color="99D0DE" w:space="0" w:sz="4" w:themeColor="accent5" w:themeTint="90" w:val="single"/>
          <w:bottom w:color="000000" w:space="0" w:sz="4" w:val="none"/>
          <w:right w:color="000000" w:space="0" w:sz="4" w:val="none"/>
        </w:tcBorders>
        <w:shd w:color="FFFFFF" w:fill="auto" w:val="clear"/>
      </w:tc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7Colorful-Accent6" w:type="table">
    <w:name w:val="Grid Table 7 Colorful Accent 6"/>
    <w:basedOn w:val="TableNormal"/>
    <w:uiPriority w:val="99"/>
    <w:tblPr>
      <w:tblStyleRowBandSize w:val="1"/>
      <w:tblStyleColBandSize w:val="1"/>
      <w:tblBorders>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themeColor="accent6" w:themeShade="95" w:val="B15407"/>
        <w:sz w:val="22"/>
      </w:rPr>
      <w:tblPr/>
      <w:tcPr>
        <w:tcBorders>
          <w:top w:color="000000" w:space="0" w:sz="4" w:val="none"/>
          <w:left w:color="000000" w:space="0" w:sz="4" w:val="none"/>
          <w:bottom w:color="FAC396" w:space="0" w:sz="4" w:themeColor="accent6" w:themeTint="90" w:val="single"/>
          <w:right w:color="000000" w:space="0" w:sz="4" w:val="none"/>
        </w:tcBorders>
        <w:shd w:color="FFFFFF" w:fill="FFFFFF" w:themeColor="light1" w:themeFill="light1" w:val="clear"/>
      </w:tcPr>
    </w:tblStylePr>
    <w:tblStylePr w:type="lastRow">
      <w:rPr>
        <w:rFonts w:ascii="Arial" w:hAnsi="Arial"/>
        <w:b/>
        <w:color w:themeColor="accent6" w:themeShade="95" w:val="B15407"/>
        <w:sz w:val="22"/>
      </w:rPr>
      <w:tblPr/>
      <w:tcPr>
        <w:tcBorders>
          <w:top w:color="FAC396" w:space="0" w:sz="4" w:themeColor="accent6"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val="B15407"/>
        <w:sz w:val="22"/>
      </w:rPr>
      <w:tblPr/>
      <w:tcPr>
        <w:tcBorders>
          <w:top w:color="000000" w:space="0" w:sz="4" w:val="none"/>
          <w:left w:color="000000" w:space="0" w:sz="4" w:val="none"/>
          <w:bottom w:color="000000" w:space="0" w:sz="4" w:val="none"/>
          <w:right w:color="FAC396" w:space="0" w:sz="4" w:themeColor="accent6" w:themeTint="90" w:val="single"/>
        </w:tcBorders>
        <w:shd w:color="FFFFFF" w:fill="auto" w:val="clear"/>
      </w:tcPr>
    </w:tblStylePr>
    <w:tblStylePr w:type="lastCol">
      <w:rPr>
        <w:rFonts w:ascii="Arial" w:hAnsi="Arial"/>
        <w:i/>
        <w:color w:themeColor="accent6" w:themeShade="95" w:val="B15407"/>
        <w:sz w:val="22"/>
      </w:rPr>
      <w:tblPr/>
      <w:tcPr>
        <w:tcBorders>
          <w:top w:color="000000" w:space="0" w:sz="4" w:val="none"/>
          <w:left w:color="FAC396" w:space="0" w:sz="4" w:themeColor="accent6" w:themeTint="90" w:val="single"/>
          <w:bottom w:color="000000" w:space="0" w:sz="4" w:val="none"/>
          <w:right w:color="000000" w:space="0" w:sz="4" w:val="none"/>
        </w:tcBorders>
        <w:shd w:color="FFFFFF" w:fill="auto" w:val="clear"/>
      </w:tcPr>
    </w:tblStylePr>
    <w:tblStylePr w:type="band1Vert">
      <w:tblPr/>
      <w:tcPr>
        <w:shd w:color="FDE9D8" w:fill="FDE9D8" w:themeColor="accent6" w:themeFill="accent6" w:themeFillTint="34" w:themeTint="34" w:val="clear"/>
      </w:tcPr>
    </w:tblStylePr>
    <w:tblStylePr w:type="band1Horz">
      <w:rPr>
        <w:rFonts w:ascii="Arial" w:hAnsi="Arial"/>
        <w:color w:themeColor="accent6" w:themeShade="95" w:val="B15407"/>
        <w:sz w:val="22"/>
      </w:rPr>
      <w:tblPr/>
      <w:tcPr>
        <w:shd w:color="FDE9D8" w:fill="FDE9D8" w:themeColor="accent6" w:themeFill="accent6" w:themeFillTint="34" w:themeTint="34" w:val="clear"/>
      </w:tcPr>
    </w:tblStylePr>
    <w:tblStylePr w:type="band2Horz">
      <w:rPr>
        <w:rFonts w:ascii="Arial" w:hAnsi="Arial"/>
        <w:color w:themeColor="accent6" w:themeShade="95" w:val="B15407"/>
        <w:sz w:val="22"/>
      </w:rPr>
    </w:tblStylePr>
  </w:style>
  <w:style w:styleId="ListTable1Light" w:type="table">
    <w:name w:val="List Table 1 Light"/>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000000" w:space="0" w:sz="4" w:themeColor="text1" w:val="single"/>
          <w:right w:color="000000" w:space="0" w:sz="4" w:val="none"/>
        </w:tcBorders>
      </w:tcPr>
    </w:tblStylePr>
    <w:tblStylePr w:type="lastRow">
      <w:rPr>
        <w:b/>
        <w:color w:val="404040"/>
      </w:rPr>
      <w:tblPr/>
      <w:tcPr>
        <w:tcBorders>
          <w:top w:color="000000" w:space="0" w:sz="4" w:themeColor="tex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BFBFBF" w:fill="BFBFBF" w:themeColor="text1" w:themeFill="text1" w:themeFillTint="40" w:themeTint="40" w:val="clear"/>
      </w:tcPr>
    </w:tblStylePr>
    <w:tblStylePr w:type="band1Horz">
      <w:tblPr/>
      <w:tcPr>
        <w:shd w:color="BFBFBF" w:fill="BFBFBF" w:themeColor="text1" w:themeFill="text1" w:themeFillTint="40" w:themeTint="40" w:val="clear"/>
      </w:tcPr>
    </w:tblStylePr>
  </w:style>
  <w:style w:styleId="ListTable1Light-Accent1" w:type="table">
    <w:name w:val="List Table 1 Light Accent 1"/>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F81BD" w:space="0" w:sz="4" w:themeColor="accent1" w:val="single"/>
          <w:right w:color="000000" w:space="0" w:sz="4" w:val="none"/>
        </w:tcBorders>
      </w:tcPr>
    </w:tblStylePr>
    <w:tblStylePr w:type="lastRow">
      <w:rPr>
        <w:b/>
        <w:color w:val="404040"/>
      </w:rPr>
      <w:tblPr/>
      <w:tcPr>
        <w:tcBorders>
          <w:top w:color="4F81BD" w:space="0" w:sz="4" w:themeColor="accen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2DFEE" w:fill="D2DFEE" w:themeColor="accent1" w:themeFill="accent1" w:themeFillTint="40" w:themeTint="40" w:val="clear"/>
      </w:tcPr>
    </w:tblStylePr>
    <w:tblStylePr w:type="band1Horz">
      <w:tblPr/>
      <w:tcPr>
        <w:shd w:color="D2DFEE" w:fill="D2DFEE" w:themeColor="accent1" w:themeFill="accent1" w:themeFillTint="40" w:themeTint="40" w:val="clear"/>
      </w:tcPr>
    </w:tblStylePr>
  </w:style>
  <w:style w:styleId="ListTable1Light-Accent2" w:type="table">
    <w:name w:val="List Table 1 Light Accent 2"/>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C0504D" w:space="0" w:sz="4" w:themeColor="accent2" w:val="single"/>
          <w:right w:color="000000" w:space="0" w:sz="4" w:val="none"/>
        </w:tcBorders>
      </w:tcPr>
    </w:tblStylePr>
    <w:tblStylePr w:type="lastRow">
      <w:rPr>
        <w:b/>
        <w:color w:val="404040"/>
      </w:rPr>
      <w:tblPr/>
      <w:tcPr>
        <w:tcBorders>
          <w:top w:color="C0504D" w:space="0" w:sz="4" w:themeColor="accent2"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FD2D2" w:fill="EFD2D2" w:themeColor="accent2" w:themeFill="accent2" w:themeFillTint="40" w:themeTint="40" w:val="clear"/>
      </w:tcPr>
    </w:tblStylePr>
    <w:tblStylePr w:type="band1Horz">
      <w:tblPr/>
      <w:tcPr>
        <w:shd w:color="EFD2D2" w:fill="EFD2D2" w:themeColor="accent2" w:themeFill="accent2" w:themeFillTint="40" w:themeTint="40" w:val="clear"/>
      </w:tcPr>
    </w:tblStylePr>
  </w:style>
  <w:style w:styleId="ListTable1Light-Accent3" w:type="table">
    <w:name w:val="List Table 1 Light Accent 3"/>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9BBB59" w:space="0" w:sz="4" w:themeColor="accent3" w:val="single"/>
          <w:right w:color="000000" w:space="0" w:sz="4" w:val="none"/>
        </w:tcBorders>
      </w:tcPr>
    </w:tblStylePr>
    <w:tblStylePr w:type="lastRow">
      <w:rPr>
        <w:b/>
        <w:color w:val="404040"/>
      </w:rPr>
      <w:tblPr/>
      <w:tcPr>
        <w:tcBorders>
          <w:top w:color="9BBB59" w:space="0" w:sz="4" w:themeColor="accent3"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5EED5" w:fill="E5EED5" w:themeColor="accent3" w:themeFill="accent3" w:themeFillTint="40" w:themeTint="40" w:val="clear"/>
      </w:tcPr>
    </w:tblStylePr>
    <w:tblStylePr w:type="band1Horz">
      <w:tblPr/>
      <w:tcPr>
        <w:shd w:color="E5EED5" w:fill="E5EED5" w:themeColor="accent3" w:themeFill="accent3" w:themeFillTint="40" w:themeTint="40" w:val="clear"/>
      </w:tcPr>
    </w:tblStylePr>
  </w:style>
  <w:style w:styleId="ListTable1Light-Accent4" w:type="table">
    <w:name w:val="List Table 1 Light Accent 4"/>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8064A2" w:space="0" w:sz="4" w:themeColor="accent4" w:val="single"/>
          <w:right w:color="000000" w:space="0" w:sz="4" w:val="none"/>
        </w:tcBorders>
      </w:tcPr>
    </w:tblStylePr>
    <w:tblStylePr w:type="lastRow">
      <w:rPr>
        <w:b/>
        <w:color w:val="404040"/>
      </w:rPr>
      <w:tblPr/>
      <w:tcPr>
        <w:tcBorders>
          <w:top w:color="8064A2" w:space="0" w:sz="4" w:themeColor="accent4"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FD8E7" w:fill="DFD8E7" w:themeColor="accent4" w:themeFill="accent4" w:themeFillTint="40" w:themeTint="40" w:val="clear"/>
      </w:tcPr>
    </w:tblStylePr>
    <w:tblStylePr w:type="band1Horz">
      <w:tblPr/>
      <w:tcPr>
        <w:shd w:color="DFD8E7" w:fill="DFD8E7" w:themeColor="accent4" w:themeFill="accent4" w:themeFillTint="40" w:themeTint="40" w:val="clear"/>
      </w:tcPr>
    </w:tblStylePr>
  </w:style>
  <w:style w:styleId="ListTable1Light-Accent5" w:type="table">
    <w:name w:val="List Table 1 Light Accent 5"/>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BACC6" w:space="0" w:sz="4" w:themeColor="accent5" w:val="single"/>
          <w:right w:color="000000" w:space="0" w:sz="4" w:val="none"/>
        </w:tcBorders>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1EAF0" w:fill="D1EAF0" w:themeColor="accent5" w:themeFill="accent5" w:themeFillTint="40" w:themeTint="40" w:val="clear"/>
      </w:tcPr>
    </w:tblStylePr>
    <w:tblStylePr w:type="band1Horz">
      <w:tblPr/>
      <w:tcPr>
        <w:shd w:color="D1EAF0" w:fill="D1EAF0" w:themeColor="accent5" w:themeFill="accent5" w:themeFillTint="40" w:themeTint="40" w:val="clear"/>
      </w:tcPr>
    </w:tblStylePr>
  </w:style>
  <w:style w:styleId="ListTable1Light-Accent6" w:type="table">
    <w:name w:val="List Table 1 Light Accent 6"/>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F79646" w:space="0" w:sz="4" w:themeColor="accent6" w:val="single"/>
          <w:right w:color="000000" w:space="0" w:sz="4" w:val="none"/>
        </w:tcBorders>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FDE4D0" w:fill="FDE4D0" w:themeColor="accent6" w:themeFill="accent6" w:themeFillTint="40" w:themeTint="40" w:val="clear"/>
      </w:tcPr>
    </w:tblStylePr>
    <w:tblStylePr w:type="band1Horz">
      <w:tblPr/>
      <w:tcPr>
        <w:shd w:color="FDE4D0" w:fill="FDE4D0" w:themeColor="accent6" w:themeFill="accent6" w:themeFillTint="40" w:themeTint="40" w:val="clear"/>
      </w:tcPr>
    </w:tblStylePr>
  </w:style>
  <w:style w:styleId="ListTable2" w:type="table">
    <w:name w:val="List Table 2"/>
    <w:basedOn w:val="TableNormal"/>
    <w:uiPriority w:val="99"/>
    <w:tblPr>
      <w:tblStyleRowBandSize w:val="1"/>
      <w:tblStyleColBandSize w:val="1"/>
      <w:tblBorders>
        <w:top w:color="6F6F6F" w:space="0" w:sz="4" w:themeColor="text1" w:themeTint="90" w:val="single"/>
        <w:bottom w:color="6F6F6F" w:space="0" w:sz="4" w:themeColor="text1" w:themeTint="90" w:val="single"/>
        <w:insideH w:color="6F6F6F" w:space="0" w:sz="4" w:themeColor="text1" w:themeTint="90" w:val="single"/>
      </w:tblBorders>
    </w:tblPr>
    <w:tblStylePr w:type="fir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la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2-Accent1" w:type="table">
    <w:name w:val="List Table 2 Accent 1"/>
    <w:basedOn w:val="TableNormal"/>
    <w:uiPriority w:val="99"/>
    <w:tblPr>
      <w:tblStyleRowBandSize w:val="1"/>
      <w:tblStyleColBandSize w:val="1"/>
      <w:tblBorders>
        <w:top w:color="9BB7D9" w:space="0" w:sz="4" w:themeColor="accent1" w:themeTint="90" w:val="single"/>
        <w:bottom w:color="9BB7D9" w:space="0" w:sz="4" w:themeColor="accent1" w:themeTint="90" w:val="single"/>
        <w:insideH w:color="9BB7D9" w:space="0" w:sz="4" w:themeColor="accent1" w:themeTint="90" w:val="single"/>
      </w:tblBorders>
    </w:tblPr>
    <w:tblStylePr w:type="fir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la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2-Accent2" w:type="table">
    <w:name w:val="List Table 2 Accent 2"/>
    <w:basedOn w:val="TableNormal"/>
    <w:uiPriority w:val="99"/>
    <w:tblPr>
      <w:tblStyleRowBandSize w:val="1"/>
      <w:tblStyleColBandSize w:val="1"/>
      <w:tblBorders>
        <w:top w:color="DB9B9A" w:space="0" w:sz="4" w:themeColor="accent2" w:themeTint="90" w:val="single"/>
        <w:bottom w:color="DB9B9A" w:space="0" w:sz="4" w:themeColor="accent2" w:themeTint="90" w:val="single"/>
        <w:insideH w:color="DB9B9A" w:space="0" w:sz="4" w:themeColor="accent2" w:themeTint="90" w:val="single"/>
      </w:tblBorders>
    </w:tblPr>
    <w:tblStylePr w:type="fir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la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2-Accent3" w:type="table">
    <w:name w:val="List Table 2 Accent 3"/>
    <w:basedOn w:val="TableNormal"/>
    <w:uiPriority w:val="99"/>
    <w:tblPr>
      <w:tblStyleRowBandSize w:val="1"/>
      <w:tblStyleColBandSize w:val="1"/>
      <w:tblBorders>
        <w:top w:color="C6D8A1" w:space="0" w:sz="4" w:themeColor="accent3" w:themeTint="90" w:val="single"/>
        <w:bottom w:color="C6D8A1" w:space="0" w:sz="4" w:themeColor="accent3" w:themeTint="90" w:val="single"/>
        <w:insideH w:color="C6D8A1" w:space="0" w:sz="4" w:themeColor="accent3" w:themeTint="90" w:val="single"/>
      </w:tblBorders>
    </w:tblPr>
    <w:tblStylePr w:type="fir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la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2-Accent4" w:type="table">
    <w:name w:val="List Table 2 Accent 4"/>
    <w:basedOn w:val="TableNormal"/>
    <w:uiPriority w:val="99"/>
    <w:tblPr>
      <w:tblStyleRowBandSize w:val="1"/>
      <w:tblStyleColBandSize w:val="1"/>
      <w:tblBorders>
        <w:top w:color="B7A7CA" w:space="0" w:sz="4" w:themeColor="accent4" w:themeTint="90" w:val="single"/>
        <w:bottom w:color="B7A7CA" w:space="0" w:sz="4" w:themeColor="accent4" w:themeTint="90" w:val="single"/>
        <w:insideH w:color="B7A7CA" w:space="0" w:sz="4" w:themeColor="accent4" w:themeTint="90" w:val="single"/>
      </w:tblBorders>
    </w:tblPr>
    <w:tblStylePr w:type="fir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la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2-Accent5" w:type="table">
    <w:name w:val="List Table 2 Accent 5"/>
    <w:basedOn w:val="TableNormal"/>
    <w:uiPriority w:val="99"/>
    <w:tblPr>
      <w:tblStyleRowBandSize w:val="1"/>
      <w:tblStyleColBandSize w:val="1"/>
      <w:tblBorders>
        <w:top w:color="99D0DE" w:space="0" w:sz="4" w:themeColor="accent5" w:themeTint="90" w:val="single"/>
        <w:bottom w:color="99D0DE" w:space="0" w:sz="4" w:themeColor="accent5" w:themeTint="90" w:val="single"/>
        <w:insideH w:color="99D0DE" w:space="0" w:sz="4" w:themeColor="accent5" w:themeTint="90" w:val="single"/>
      </w:tblBorders>
    </w:tblPr>
    <w:tblStylePr w:type="fir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la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2-Accent6" w:type="table">
    <w:name w:val="List Table 2 Accent 6"/>
    <w:basedOn w:val="TableNormal"/>
    <w:uiPriority w:val="99"/>
    <w:tblPr>
      <w:tblStyleRowBandSize w:val="1"/>
      <w:tblStyleColBandSize w:val="1"/>
      <w:tblBorders>
        <w:top w:color="FAC396" w:space="0" w:sz="4" w:themeColor="accent6" w:themeTint="90" w:val="single"/>
        <w:bottom w:color="FAC396" w:space="0" w:sz="4" w:themeColor="accent6" w:themeTint="90" w:val="single"/>
        <w:insideH w:color="FAC396" w:space="0" w:sz="4" w:themeColor="accent6" w:themeTint="90" w:val="single"/>
      </w:tblBorders>
    </w:tblPr>
    <w:tblStylePr w:type="fir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la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3" w:type="table">
    <w:name w:val="List Table 3"/>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000000" w:space="0" w:sz="4" w:themeColor="text1" w:val="single"/>
          <w:right w:color="000000" w:space="0" w:sz="4" w:themeColor="text1" w:val="single"/>
        </w:tcBorders>
      </w:tcPr>
    </w:tblStylePr>
    <w:tblStylePr w:type="band1Horz">
      <w:rPr>
        <w:rFonts w:ascii="Arial" w:hAnsi="Arial"/>
        <w:color w:val="404040"/>
        <w:sz w:val="22"/>
      </w:rPr>
      <w:tblPr/>
      <w:tcPr>
        <w:tcBorders>
          <w:top w:color="000000" w:space="0" w:sz="4" w:themeColor="text1" w:val="single"/>
          <w:bottom w:color="000000" w:space="0" w:sz="4" w:themeColor="text1" w:val="single"/>
        </w:tcBorders>
      </w:tcPr>
    </w:tblStylePr>
  </w:style>
  <w:style w:styleId="ListTable3-Accent1" w:type="table">
    <w:name w:val="List Table 3 Accent 1"/>
    <w:basedOn w:val="TableNormal"/>
    <w:uiPriority w:val="99"/>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4F81BD" w:space="0" w:sz="4" w:themeColor="accent1" w:val="single"/>
          <w:right w:color="4F81BD" w:space="0" w:sz="4" w:themeColor="accent1" w:val="single"/>
        </w:tcBorders>
      </w:tcPr>
    </w:tblStylePr>
    <w:tblStylePr w:type="band1Horz">
      <w:rPr>
        <w:rFonts w:ascii="Arial" w:hAnsi="Arial"/>
        <w:color w:val="404040"/>
        <w:sz w:val="22"/>
      </w:rPr>
      <w:tblPr/>
      <w:tcPr>
        <w:tcBorders>
          <w:top w:color="4F81BD" w:space="0" w:sz="4" w:themeColor="accent1" w:val="single"/>
          <w:bottom w:color="4F81BD" w:space="0" w:sz="4" w:themeColor="accent1" w:val="single"/>
        </w:tcBorders>
      </w:tcPr>
    </w:tblStylePr>
  </w:style>
  <w:style w:styleId="ListTable3-Accent2" w:type="table">
    <w:name w:val="List Table 3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blBorders>
    </w:tblPr>
    <w:tblStylePr w:type="firstRow">
      <w:rPr>
        <w:rFonts w:ascii="Arial" w:hAnsi="Arial"/>
        <w:b/>
        <w:color w:val="FFFFFF"/>
        <w:sz w:val="22"/>
      </w:rPr>
      <w:tblPr/>
      <w:tcPr>
        <w:shd w:color="D99695" w:fill="D99695" w:themeColor="accent2" w:themeFill="accent2" w:themeFillTint="97" w:themeTint="97"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D99695" w:space="0" w:sz="4" w:themeColor="accent2" w:themeTint="97" w:val="single"/>
          <w:right w:color="D99695" w:space="0" w:sz="4" w:themeColor="accent2" w:themeTint="97" w:val="single"/>
        </w:tcBorders>
      </w:tcPr>
    </w:tblStylePr>
    <w:tblStylePr w:type="band1Horz">
      <w:rPr>
        <w:rFonts w:ascii="Arial" w:hAnsi="Arial"/>
        <w:color w:val="404040"/>
        <w:sz w:val="22"/>
      </w:rPr>
      <w:tblPr/>
      <w:tcPr>
        <w:tcBorders>
          <w:top w:color="D99695" w:space="0" w:sz="4" w:themeColor="accent2" w:themeTint="97" w:val="single"/>
          <w:bottom w:color="D99695" w:space="0" w:sz="4" w:themeColor="accent2" w:themeTint="97" w:val="single"/>
        </w:tcBorders>
      </w:tcPr>
    </w:tblStylePr>
  </w:style>
  <w:style w:styleId="ListTable3-Accent3" w:type="table">
    <w:name w:val="List Table 3 Accent 3"/>
    <w:basedOn w:val="TableNormal"/>
    <w:uiPriority w:val="99"/>
    <w:tblPr>
      <w:tblStyleRowBandSize w:val="1"/>
      <w:tblStyleColBandSize w:val="1"/>
      <w:tblBorders>
        <w:top w:color="C3D69B" w:space="0" w:sz="4" w:themeColor="accent3" w:themeTint="98" w:val="single"/>
        <w:left w:color="C3D69B" w:space="0" w:sz="4" w:themeColor="accent3" w:themeTint="98" w:val="single"/>
        <w:bottom w:color="C3D69B" w:space="0" w:sz="4" w:themeColor="accent3" w:themeTint="98" w:val="single"/>
        <w:right w:color="C3D69B" w:space="0" w:sz="4" w:themeColor="accent3" w:themeTint="98" w:val="single"/>
      </w:tblBorders>
    </w:tblPr>
    <w:tblStylePr w:type="firstRow">
      <w:rPr>
        <w:rFonts w:ascii="Arial" w:hAnsi="Arial"/>
        <w:b/>
        <w:color w:val="FFFFFF"/>
        <w:sz w:val="22"/>
      </w:rPr>
      <w:tblPr/>
      <w:tcPr>
        <w:shd w:color="C3D69B" w:fill="C3D69B" w:themeColor="accent3" w:themeFill="accent3"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C3D69B" w:space="0" w:sz="4" w:themeColor="accent3" w:themeTint="98" w:val="single"/>
          <w:right w:color="C3D69B" w:space="0" w:sz="4" w:themeColor="accent3" w:themeTint="98" w:val="single"/>
        </w:tcBorders>
      </w:tcPr>
    </w:tblStylePr>
    <w:tblStylePr w:type="band1Horz">
      <w:rPr>
        <w:rFonts w:ascii="Arial" w:hAnsi="Arial"/>
        <w:color w:val="404040"/>
        <w:sz w:val="22"/>
      </w:rPr>
      <w:tblPr/>
      <w:tcPr>
        <w:tcBorders>
          <w:top w:color="C3D69B" w:space="0" w:sz="4" w:themeColor="accent3" w:themeTint="98" w:val="single"/>
          <w:bottom w:color="C3D69B" w:space="0" w:sz="4" w:themeColor="accent3" w:themeTint="98" w:val="single"/>
        </w:tcBorders>
      </w:tcPr>
    </w:tblStylePr>
  </w:style>
  <w:style w:styleId="ListTable3-Accent4" w:type="table">
    <w:name w:val="List Table 3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blBorders>
    </w:tblPr>
    <w:tblStylePr w:type="firstRow">
      <w:rPr>
        <w:rFonts w:ascii="Arial" w:hAnsi="Arial"/>
        <w:b/>
        <w:color w:val="FFFFFF"/>
        <w:sz w:val="22"/>
      </w:rPr>
      <w:tblPr/>
      <w:tcPr>
        <w:shd w:color="B2A1C6" w:fill="B2A1C6" w:themeColor="accent4" w:themeFill="accent4"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B2A1C6" w:space="0" w:sz="4" w:themeColor="accent4" w:themeTint="9A" w:val="single"/>
          <w:right w:color="B2A1C6" w:space="0" w:sz="4" w:themeColor="accent4" w:themeTint="9A" w:val="single"/>
        </w:tcBorders>
      </w:tcPr>
    </w:tblStylePr>
    <w:tblStylePr w:type="band1Horz">
      <w:rPr>
        <w:rFonts w:ascii="Arial" w:hAnsi="Arial"/>
        <w:color w:val="404040"/>
        <w:sz w:val="22"/>
      </w:rPr>
      <w:tblPr/>
      <w:tcPr>
        <w:tcBorders>
          <w:top w:color="B2A1C6" w:space="0" w:sz="4" w:themeColor="accent4" w:themeTint="9A" w:val="single"/>
          <w:bottom w:color="B2A1C6" w:space="0" w:sz="4" w:themeColor="accent4" w:themeTint="9A" w:val="single"/>
        </w:tcBorders>
      </w:tcPr>
    </w:tblStylePr>
  </w:style>
  <w:style w:styleId="ListTable3-Accent5" w:type="table">
    <w:name w:val="List Table 3 Accent 5"/>
    <w:basedOn w:val="TableNormal"/>
    <w:uiPriority w:val="99"/>
    <w:tblPr>
      <w:tblStyleRowBandSize w:val="1"/>
      <w:tblStyleColBandSize w:val="1"/>
      <w:tblBorders>
        <w:top w:color="92CCDC" w:space="0" w:sz="4" w:themeColor="accent5" w:themeTint="9A" w:val="single"/>
        <w:left w:color="92CCDC" w:space="0" w:sz="4" w:themeColor="accent5" w:themeTint="9A" w:val="single"/>
        <w:bottom w:color="92CCDC" w:space="0" w:sz="4" w:themeColor="accent5" w:themeTint="9A" w:val="single"/>
        <w:right w:color="92CCDC" w:space="0" w:sz="4" w:themeColor="accent5" w:themeTint="9A" w:val="single"/>
      </w:tblBorders>
    </w:tblPr>
    <w:tblStylePr w:type="firstRow">
      <w:rPr>
        <w:rFonts w:ascii="Arial" w:hAnsi="Arial"/>
        <w:b/>
        <w:color w:val="FFFFFF"/>
        <w:sz w:val="22"/>
      </w:rPr>
      <w:tblPr/>
      <w:tcPr>
        <w:shd w:color="92CCDC" w:fill="92CCDC" w:themeColor="accent5" w:themeFill="accent5"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92CCDC" w:space="0" w:sz="4" w:themeColor="accent5" w:themeTint="9A" w:val="single"/>
          <w:right w:color="92CCDC" w:space="0" w:sz="4" w:themeColor="accent5" w:themeTint="9A" w:val="single"/>
        </w:tcBorders>
      </w:tcPr>
    </w:tblStylePr>
    <w:tblStylePr w:type="band1Horz">
      <w:rPr>
        <w:rFonts w:ascii="Arial" w:hAnsi="Arial"/>
        <w:color w:val="404040"/>
        <w:sz w:val="22"/>
      </w:rPr>
      <w:tblPr/>
      <w:tcPr>
        <w:tcBorders>
          <w:top w:color="92CCDC" w:space="0" w:sz="4" w:themeColor="accent5" w:themeTint="9A" w:val="single"/>
          <w:bottom w:color="92CCDC" w:space="0" w:sz="4" w:themeColor="accent5" w:themeTint="9A" w:val="single"/>
        </w:tcBorders>
      </w:tcPr>
    </w:tblStylePr>
  </w:style>
  <w:style w:styleId="ListTable3-Accent6" w:type="table">
    <w:name w:val="List Table 3 Accent 6"/>
    <w:basedOn w:val="TableNormal"/>
    <w:uiPriority w:val="99"/>
    <w:tblPr>
      <w:tblStyleRowBandSize w:val="1"/>
      <w:tblStyleColBandSize w:val="1"/>
      <w:tblBorders>
        <w:top w:color="FAC090" w:space="0" w:sz="4" w:themeColor="accent6" w:themeTint="98" w:val="single"/>
        <w:left w:color="FAC090" w:space="0" w:sz="4" w:themeColor="accent6" w:themeTint="98" w:val="single"/>
        <w:bottom w:color="FAC090" w:space="0" w:sz="4" w:themeColor="accent6" w:themeTint="98" w:val="single"/>
        <w:right w:color="FAC090" w:space="0" w:sz="4" w:themeColor="accent6" w:themeTint="98" w:val="single"/>
      </w:tblBorders>
    </w:tblPr>
    <w:tblStylePr w:type="firstRow">
      <w:rPr>
        <w:rFonts w:ascii="Arial" w:hAnsi="Arial"/>
        <w:b/>
        <w:color w:val="FFFFFF"/>
        <w:sz w:val="22"/>
      </w:rPr>
      <w:tblPr/>
      <w:tcPr>
        <w:shd w:color="FAC090" w:fill="FAC090" w:themeColor="accent6" w:themeFill="accent6"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FAC090" w:space="0" w:sz="4" w:themeColor="accent6" w:themeTint="98" w:val="single"/>
          <w:right w:color="FAC090" w:space="0" w:sz="4" w:themeColor="accent6" w:themeTint="98" w:val="single"/>
        </w:tcBorders>
      </w:tcPr>
    </w:tblStylePr>
    <w:tblStylePr w:type="band1Horz">
      <w:rPr>
        <w:rFonts w:ascii="Arial" w:hAnsi="Arial"/>
        <w:color w:val="404040"/>
        <w:sz w:val="22"/>
      </w:rPr>
      <w:tblPr/>
      <w:tcPr>
        <w:tcBorders>
          <w:top w:color="FAC090" w:space="0" w:sz="4" w:themeColor="accent6" w:themeTint="98" w:val="single"/>
          <w:bottom w:color="FAC090" w:space="0" w:sz="4" w:themeColor="accent6" w:themeTint="98" w:val="single"/>
        </w:tcBorders>
      </w:tcPr>
    </w:tblStylePr>
  </w:style>
  <w:style w:styleId="ListTable4" w:type="table">
    <w:name w:val="List Table 4"/>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4-Accent1" w:type="table">
    <w:name w:val="List Table 4 Accent 1"/>
    <w:basedOn w:val="TableNormal"/>
    <w:uiPriority w:val="9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4-Accent2" w:type="table">
    <w:name w:val="List Table 4 Accent 2"/>
    <w:basedOn w:val="TableNormal"/>
    <w:uiPriority w:val="9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tblBorders>
    </w:tblPr>
    <w:tblStylePr w:type="firstRow">
      <w:rPr>
        <w:rFonts w:ascii="Arial" w:hAnsi="Arial"/>
        <w:b/>
        <w:color w:val="FFFFFF"/>
        <w:sz w:val="22"/>
      </w:rPr>
      <w:tblPr/>
      <w:tcPr>
        <w:shd w:color="C0504D" w:fill="C0504D" w:themeColor="accent2" w:themeFill="accent2"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4-Accent3" w:type="table">
    <w:name w:val="List Table 4 Accent 3"/>
    <w:basedOn w:val="TableNormal"/>
    <w:uiPriority w:val="9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tblBorders>
    </w:tblPr>
    <w:tblStylePr w:type="firstRow">
      <w:rPr>
        <w:rFonts w:ascii="Arial" w:hAnsi="Arial"/>
        <w:b/>
        <w:color w:val="FFFFFF"/>
        <w:sz w:val="22"/>
      </w:rPr>
      <w:tblPr/>
      <w:tcPr>
        <w:shd w:color="9BBB59" w:fill="9BBB59" w:themeColor="accent3" w:themeFill="accent3"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4-Accent4" w:type="table">
    <w:name w:val="List Table 4 Accent 4"/>
    <w:basedOn w:val="TableNormal"/>
    <w:uiPriority w:val="9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tblBorders>
    </w:tblPr>
    <w:tblStylePr w:type="firstRow">
      <w:rPr>
        <w:rFonts w:ascii="Arial" w:hAnsi="Arial"/>
        <w:b/>
        <w:color w:val="FFFFFF"/>
        <w:sz w:val="22"/>
      </w:rPr>
      <w:tblPr/>
      <w:tcPr>
        <w:shd w:color="8064A2" w:fill="8064A2" w:themeColor="accent4" w:themeFill="accent4"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4-Accent5" w:type="table">
    <w:name w:val="List Table 4 Accent 5"/>
    <w:basedOn w:val="TableNormal"/>
    <w:uiPriority w:val="9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tblBorders>
    </w:tblPr>
    <w:tblStylePr w:type="firstRow">
      <w:rPr>
        <w:rFonts w:ascii="Arial" w:hAnsi="Arial"/>
        <w:b/>
        <w:color w:val="FFFFFF"/>
        <w:sz w:val="22"/>
      </w:rPr>
      <w:tblPr/>
      <w:tcPr>
        <w:shd w:color="4BACC6" w:fill="4BACC6" w:themeColor="accent5" w:themeFill="accent5"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4-Accent6" w:type="table">
    <w:name w:val="List Table 4 Accent 6"/>
    <w:basedOn w:val="TableNormal"/>
    <w:uiPriority w:val="9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tblBorders>
    </w:tblPr>
    <w:tblStylePr w:type="firstRow">
      <w:rPr>
        <w:rFonts w:ascii="Arial" w:hAnsi="Arial"/>
        <w:b/>
        <w:color w:val="FFFFFF"/>
        <w:sz w:val="22"/>
      </w:rPr>
      <w:tblPr/>
      <w:tcPr>
        <w:shd w:color="F79646" w:fill="F79646" w:themeColor="accent6" w:themeFill="accent6"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5Dark" w:type="table">
    <w:name w:val="List Table 5 Dark"/>
    <w:basedOn w:val="TableNormal"/>
    <w:uiPriority w:val="99"/>
    <w:tblPr>
      <w:tblStyleRowBandSize w:val="1"/>
      <w:tblStyleColBandSize w:val="1"/>
      <w:tblBorders>
        <w:top w:color="7F7F7F" w:space="0" w:sz="32" w:themeColor="text1" w:themeTint="80" w:val="single"/>
        <w:left w:color="7F7F7F" w:space="0" w:sz="32" w:themeColor="text1" w:themeTint="80" w:val="single"/>
        <w:bottom w:color="7F7F7F" w:space="0" w:sz="32" w:themeColor="text1" w:themeTint="80" w:val="single"/>
        <w:right w:color="7F7F7F" w:space="0" w:sz="32" w:themeColor="text1" w:themeTint="80" w:val="single"/>
      </w:tblBorders>
      <w:shd w:color="7F7F7F" w:fill="7F7F7F" w:themeColor="text1" w:themeFill="text1" w:themeFillTint="80" w:themeTint="80" w:val="clear"/>
    </w:tblPr>
    <w:tblStylePr w:type="firstRow">
      <w:rPr>
        <w:rFonts w:ascii="Arial" w:hAnsi="Arial"/>
        <w:b/>
        <w:color w:themeColor="light1" w:val="FFFFFF"/>
        <w:sz w:val="22"/>
      </w:rPr>
      <w:tblPr/>
      <w:tcPr>
        <w:tcBorders>
          <w:top w:color="7F7F7F" w:space="0" w:sz="32" w:themeColor="text1" w:themeTint="80" w:val="single"/>
          <w:bottom w:color="FFFFFF" w:space="0" w:sz="12" w:themeColor="light1" w:val="single"/>
        </w:tcBorders>
        <w:shd w:color="7F7F7F" w:fill="7F7F7F" w:themeColor="text1" w:themeFill="text1" w:themeFillTint="80" w:themeTint="80"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7F7F7F" w:space="0" w:sz="32" w:themeColor="text1" w:themeTint="80" w:val="single"/>
          <w:right w:color="FFFFFF" w:space="0" w:sz="4" w:themeColor="light1" w:val="single"/>
        </w:tcBorders>
      </w:tcPr>
    </w:tblStylePr>
    <w:tblStylePr w:type="lastCol">
      <w:tblPr/>
      <w:tcPr>
        <w:tcBorders>
          <w:left w:color="FFFFFF" w:space="0" w:sz="4" w:themeColor="light1" w:val="single"/>
          <w:right w:color="7F7F7F" w:space="0" w:sz="32" w:themeColor="text1" w:themeTint="80" w:val="single"/>
        </w:tcBorders>
      </w:tcPr>
    </w:tblStylePr>
    <w:tblStylePr w:type="band1Vert">
      <w:tblPr/>
      <w:tcPr>
        <w:tcBorders>
          <w:left w:color="FFFFFF" w:space="0" w:sz="4" w:themeColor="light1" w:val="single"/>
          <w:right w:color="FFFFFF" w:space="0" w:sz="4" w:themeColor="light1" w:val="single"/>
        </w:tcBorders>
        <w:shd w:color="7F7F7F" w:fill="7F7F7F" w:themeColor="text1" w:themeFill="text1" w:themeFillTint="80" w:themeTint="80"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tblStylePr w:type="band2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style>
  <w:style w:styleId="ListTable5Dark-Accent1" w:type="table">
    <w:name w:val="List Table 5 Dark Accent 1"/>
    <w:basedOn w:val="TableNormal"/>
    <w:uiPriority w:val="99"/>
    <w:tblPr>
      <w:tblStyleRowBandSize w:val="1"/>
      <w:tblStyleColBandSize w:val="1"/>
      <w:tblBorders>
        <w:top w:color="4F81BD" w:space="0" w:sz="32" w:themeColor="accent1" w:val="single"/>
        <w:left w:color="4F81BD" w:space="0" w:sz="32" w:themeColor="accent1" w:val="single"/>
        <w:bottom w:color="4F81BD" w:space="0" w:sz="32" w:themeColor="accent1" w:val="single"/>
        <w:right w:color="4F81BD" w:space="0" w:sz="32" w:themeColor="accent1" w:val="single"/>
      </w:tblBorders>
      <w:shd w:color="4F81BD" w:fill="4F81BD" w:themeColor="accent1" w:themeFill="accent1" w:val="clear"/>
    </w:tblPr>
    <w:tblStylePr w:type="firstRow">
      <w:rPr>
        <w:rFonts w:ascii="Arial" w:hAnsi="Arial"/>
        <w:b/>
        <w:color w:themeColor="light1" w:val="FFFFFF"/>
        <w:sz w:val="22"/>
      </w:rPr>
      <w:tblPr/>
      <w:tcPr>
        <w:tcBorders>
          <w:top w:color="4F81BD" w:space="0" w:sz="32" w:themeColor="accent1" w:val="single"/>
          <w:bottom w:color="FFFFFF" w:space="0" w:sz="12" w:themeColor="light1" w:val="single"/>
        </w:tcBorders>
        <w:shd w:color="4F81BD" w:fill="4F81BD" w:themeColor="accent1" w:themeFill="accent1"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4F81BD" w:space="0" w:sz="32" w:themeColor="accent1" w:val="single"/>
          <w:right w:color="FFFFFF" w:space="0" w:sz="4" w:themeColor="light1" w:val="single"/>
        </w:tcBorders>
      </w:tcPr>
    </w:tblStylePr>
    <w:tblStylePr w:type="lastCol">
      <w:tblPr/>
      <w:tcPr>
        <w:tcBorders>
          <w:left w:color="FFFFFF" w:space="0" w:sz="4" w:themeColor="light1" w:val="single"/>
          <w:right w:color="4F81BD" w:space="0" w:sz="32" w:themeColor="accent1" w:val="single"/>
        </w:tcBorders>
      </w:tcPr>
    </w:tblStylePr>
    <w:tblStylePr w:type="band1Vert">
      <w:tblPr/>
      <w:tcPr>
        <w:tcBorders>
          <w:left w:color="FFFFFF" w:space="0" w:sz="4" w:themeColor="light1" w:val="single"/>
          <w:right w:color="FFFFFF" w:space="0" w:sz="4" w:themeColor="light1" w:val="single"/>
        </w:tcBorders>
        <w:shd w:color="4F81BD" w:fill="4F81BD" w:themeColor="accent1" w:themeFill="accent1"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4F81BD" w:fill="4F81BD" w:themeColor="accent1" w:themeFill="accent1" w:val="clear"/>
      </w:tcPr>
    </w:tblStylePr>
    <w:tblStylePr w:type="band2Horz">
      <w:tblPr/>
      <w:tcPr>
        <w:tcBorders>
          <w:top w:color="FFFFFF" w:space="0" w:sz="4" w:themeColor="light1" w:val="single"/>
          <w:bottom w:color="FFFFFF" w:space="0" w:sz="4" w:themeColor="light1" w:val="single"/>
        </w:tcBorders>
        <w:shd w:color="4F81BD" w:fill="4F81BD" w:themeColor="accent1" w:themeFill="accent1" w:val="clear"/>
      </w:tcPr>
    </w:tblStylePr>
  </w:style>
  <w:style w:styleId="ListTable5Dark-Accent2" w:type="table">
    <w:name w:val="List Table 5 Dark Accent 2"/>
    <w:basedOn w:val="TableNormal"/>
    <w:uiPriority w:val="99"/>
    <w:tblPr>
      <w:tblStyleRowBandSize w:val="1"/>
      <w:tblStyleColBandSize w:val="1"/>
      <w:tblBorders>
        <w:top w:color="D99695" w:space="0" w:sz="32" w:themeColor="accent2" w:themeTint="97" w:val="single"/>
        <w:left w:color="D99695" w:space="0" w:sz="32" w:themeColor="accent2" w:themeTint="97" w:val="single"/>
        <w:bottom w:color="D99695" w:space="0" w:sz="32" w:themeColor="accent2" w:themeTint="97" w:val="single"/>
        <w:right w:color="D99695" w:space="0" w:sz="32" w:themeColor="accent2" w:themeTint="97" w:val="single"/>
      </w:tblBorders>
      <w:shd w:color="D99695" w:fill="D99695" w:themeColor="accent2" w:themeFill="accent2" w:themeFillTint="97" w:themeTint="97" w:val="clear"/>
    </w:tblPr>
    <w:tblStylePr w:type="firstRow">
      <w:rPr>
        <w:rFonts w:ascii="Arial" w:hAnsi="Arial"/>
        <w:b/>
        <w:color w:themeColor="light1" w:val="FFFFFF"/>
        <w:sz w:val="22"/>
      </w:rPr>
      <w:tblPr/>
      <w:tcPr>
        <w:tcBorders>
          <w:top w:color="D99695" w:space="0" w:sz="32" w:themeColor="accent2" w:themeTint="97" w:val="single"/>
          <w:bottom w:color="FFFFFF" w:space="0" w:sz="12" w:themeColor="light1" w:val="single"/>
        </w:tcBorders>
        <w:shd w:color="D99695" w:fill="D99695" w:themeColor="accent2" w:themeFill="accent2" w:themeFillTint="97" w:themeTint="97"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D99695" w:space="0" w:sz="32" w:themeColor="accent2" w:themeTint="97" w:val="single"/>
          <w:right w:color="FFFFFF" w:space="0" w:sz="4" w:themeColor="light1" w:val="single"/>
        </w:tcBorders>
      </w:tcPr>
    </w:tblStylePr>
    <w:tblStylePr w:type="lastCol">
      <w:tblPr/>
      <w:tcPr>
        <w:tcBorders>
          <w:left w:color="FFFFFF" w:space="0" w:sz="4" w:themeColor="light1" w:val="single"/>
          <w:right w:color="D99695" w:space="0" w:sz="32" w:themeColor="accent2" w:themeTint="97" w:val="single"/>
        </w:tcBorders>
      </w:tcPr>
    </w:tblStylePr>
    <w:tblStylePr w:type="band1Vert">
      <w:tblPr/>
      <w:tcPr>
        <w:tcBorders>
          <w:left w:color="FFFFFF" w:space="0" w:sz="4" w:themeColor="light1" w:val="single"/>
          <w:right w:color="FFFFFF" w:space="0" w:sz="4" w:themeColor="light1" w:val="single"/>
        </w:tcBorders>
        <w:shd w:color="D99695" w:fill="D99695" w:themeColor="accent2" w:themeFill="accent2" w:themeFillTint="97" w:themeTint="97"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tblStylePr w:type="band2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style>
  <w:style w:styleId="ListTable5Dark-Accent3" w:type="table">
    <w:name w:val="List Table 5 Dark Accent 3"/>
    <w:basedOn w:val="TableNormal"/>
    <w:uiPriority w:val="99"/>
    <w:tblPr>
      <w:tblStyleRowBandSize w:val="1"/>
      <w:tblStyleColBandSize w:val="1"/>
      <w:tblBorders>
        <w:top w:color="C3D69B" w:space="0" w:sz="32" w:themeColor="accent3" w:themeTint="98" w:val="single"/>
        <w:left w:color="C3D69B" w:space="0" w:sz="32" w:themeColor="accent3" w:themeTint="98" w:val="single"/>
        <w:bottom w:color="C3D69B" w:space="0" w:sz="32" w:themeColor="accent3" w:themeTint="98" w:val="single"/>
        <w:right w:color="C3D69B" w:space="0" w:sz="32" w:themeColor="accent3" w:themeTint="98" w:val="single"/>
      </w:tblBorders>
      <w:shd w:color="C3D69B" w:fill="C3D69B" w:themeColor="accent3" w:themeFill="accent3" w:themeFillTint="98" w:themeTint="98" w:val="clear"/>
    </w:tblPr>
    <w:tblStylePr w:type="firstRow">
      <w:rPr>
        <w:rFonts w:ascii="Arial" w:hAnsi="Arial"/>
        <w:b/>
        <w:color w:themeColor="light1" w:val="FFFFFF"/>
        <w:sz w:val="22"/>
      </w:rPr>
      <w:tblPr/>
      <w:tcPr>
        <w:tcBorders>
          <w:top w:color="C3D69B" w:space="0" w:sz="32" w:themeColor="accent3" w:themeTint="98" w:val="single"/>
          <w:bottom w:color="FFFFFF" w:space="0" w:sz="12" w:themeColor="light1" w:val="single"/>
        </w:tcBorders>
        <w:shd w:color="C3D69B" w:fill="C3D69B" w:themeColor="accent3" w:themeFill="accent3"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C3D69B" w:space="0" w:sz="32" w:themeColor="accent3" w:themeTint="98" w:val="single"/>
          <w:right w:color="FFFFFF" w:space="0" w:sz="4" w:themeColor="light1" w:val="single"/>
        </w:tcBorders>
      </w:tcPr>
    </w:tblStylePr>
    <w:tblStylePr w:type="lastCol">
      <w:tblPr/>
      <w:tcPr>
        <w:tcBorders>
          <w:left w:color="FFFFFF" w:space="0" w:sz="4" w:themeColor="light1" w:val="single"/>
          <w:right w:color="C3D69B" w:space="0" w:sz="32" w:themeColor="accent3" w:themeTint="98" w:val="single"/>
        </w:tcBorders>
      </w:tcPr>
    </w:tblStylePr>
    <w:tblStylePr w:type="band1Vert">
      <w:tblPr/>
      <w:tcPr>
        <w:tcBorders>
          <w:left w:color="FFFFFF" w:space="0" w:sz="4" w:themeColor="light1" w:val="single"/>
          <w:right w:color="FFFFFF" w:space="0" w:sz="4" w:themeColor="light1" w:val="single"/>
        </w:tcBorders>
        <w:shd w:color="C3D69B" w:fill="C3D69B" w:themeColor="accent3" w:themeFill="accent3"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tblStylePr w:type="band2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style>
  <w:style w:styleId="ListTable5Dark-Accent4" w:type="table">
    <w:name w:val="List Table 5 Dark Accent 4"/>
    <w:basedOn w:val="TableNormal"/>
    <w:uiPriority w:val="99"/>
    <w:tblPr>
      <w:tblStyleRowBandSize w:val="1"/>
      <w:tblStyleColBandSize w:val="1"/>
      <w:tblBorders>
        <w:top w:color="B2A1C6" w:space="0" w:sz="32" w:themeColor="accent4" w:themeTint="9A" w:val="single"/>
        <w:left w:color="B2A1C6" w:space="0" w:sz="32" w:themeColor="accent4" w:themeTint="9A" w:val="single"/>
        <w:bottom w:color="B2A1C6" w:space="0" w:sz="32" w:themeColor="accent4" w:themeTint="9A" w:val="single"/>
        <w:right w:color="B2A1C6" w:space="0" w:sz="32" w:themeColor="accent4" w:themeTint="9A" w:val="single"/>
      </w:tblBorders>
      <w:shd w:color="B2A1C6" w:fill="B2A1C6" w:themeColor="accent4" w:themeFill="accent4" w:themeFillTint="9A" w:themeTint="9A" w:val="clear"/>
    </w:tblPr>
    <w:tblStylePr w:type="firstRow">
      <w:rPr>
        <w:rFonts w:ascii="Arial" w:hAnsi="Arial"/>
        <w:b/>
        <w:color w:themeColor="light1" w:val="FFFFFF"/>
        <w:sz w:val="22"/>
      </w:rPr>
      <w:tblPr/>
      <w:tcPr>
        <w:tcBorders>
          <w:top w:color="B2A1C6" w:space="0" w:sz="32" w:themeColor="accent4" w:themeTint="9A" w:val="single"/>
          <w:bottom w:color="FFFFFF" w:space="0" w:sz="12" w:themeColor="light1" w:val="single"/>
        </w:tcBorders>
        <w:shd w:color="B2A1C6" w:fill="B2A1C6" w:themeColor="accent4" w:themeFill="accent4"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B2A1C6" w:space="0" w:sz="32" w:themeColor="accent4" w:themeTint="9A" w:val="single"/>
          <w:right w:color="FFFFFF" w:space="0" w:sz="4" w:themeColor="light1" w:val="single"/>
        </w:tcBorders>
      </w:tcPr>
    </w:tblStylePr>
    <w:tblStylePr w:type="lastCol">
      <w:tblPr/>
      <w:tcPr>
        <w:tcBorders>
          <w:left w:color="FFFFFF" w:space="0" w:sz="4" w:themeColor="light1" w:val="single"/>
          <w:right w:color="B2A1C6" w:space="0" w:sz="32" w:themeColor="accent4" w:themeTint="9A" w:val="single"/>
        </w:tcBorders>
      </w:tcPr>
    </w:tblStylePr>
    <w:tblStylePr w:type="band1Vert">
      <w:tblPr/>
      <w:tcPr>
        <w:tcBorders>
          <w:left w:color="FFFFFF" w:space="0" w:sz="4" w:themeColor="light1" w:val="single"/>
          <w:right w:color="FFFFFF" w:space="0" w:sz="4" w:themeColor="light1" w:val="single"/>
        </w:tcBorders>
        <w:shd w:color="B2A1C6" w:fill="B2A1C6" w:themeColor="accent4" w:themeFill="accent4"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tblStylePr w:type="band2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style>
  <w:style w:styleId="ListTable5Dark-Accent5" w:type="table">
    <w:name w:val="List Table 5 Dark Accent 5"/>
    <w:basedOn w:val="TableNormal"/>
    <w:uiPriority w:val="99"/>
    <w:tblPr>
      <w:tblStyleRowBandSize w:val="1"/>
      <w:tblStyleColBandSize w:val="1"/>
      <w:tblBorders>
        <w:top w:color="92CCDC" w:space="0" w:sz="32" w:themeColor="accent5" w:themeTint="9A" w:val="single"/>
        <w:left w:color="92CCDC" w:space="0" w:sz="32" w:themeColor="accent5" w:themeTint="9A" w:val="single"/>
        <w:bottom w:color="92CCDC" w:space="0" w:sz="32" w:themeColor="accent5" w:themeTint="9A" w:val="single"/>
        <w:right w:color="92CCDC" w:space="0" w:sz="32" w:themeColor="accent5" w:themeTint="9A" w:val="single"/>
      </w:tblBorders>
      <w:shd w:color="92CCDC" w:fill="92CCDC" w:themeColor="accent5" w:themeFill="accent5" w:themeFillTint="9A" w:themeTint="9A" w:val="clear"/>
    </w:tblPr>
    <w:tblStylePr w:type="firstRow">
      <w:rPr>
        <w:rFonts w:ascii="Arial" w:hAnsi="Arial"/>
        <w:b/>
        <w:color w:themeColor="light1" w:val="FFFFFF"/>
        <w:sz w:val="22"/>
      </w:rPr>
      <w:tblPr/>
      <w:tcPr>
        <w:tcBorders>
          <w:top w:color="92CCDC" w:space="0" w:sz="32" w:themeColor="accent5" w:themeTint="9A" w:val="single"/>
          <w:bottom w:color="FFFFFF" w:space="0" w:sz="12" w:themeColor="light1" w:val="single"/>
        </w:tcBorders>
        <w:shd w:color="92CCDC" w:fill="92CCDC" w:themeColor="accent5" w:themeFill="accent5"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92CCDC" w:space="0" w:sz="32" w:themeColor="accent5" w:themeTint="9A" w:val="single"/>
          <w:right w:color="FFFFFF" w:space="0" w:sz="4" w:themeColor="light1" w:val="single"/>
        </w:tcBorders>
      </w:tcPr>
    </w:tblStylePr>
    <w:tblStylePr w:type="lastCol">
      <w:tblPr/>
      <w:tcPr>
        <w:tcBorders>
          <w:left w:color="FFFFFF" w:space="0" w:sz="4" w:themeColor="light1" w:val="single"/>
          <w:right w:color="92CCDC" w:space="0" w:sz="32" w:themeColor="accent5" w:themeTint="9A" w:val="single"/>
        </w:tcBorders>
      </w:tcPr>
    </w:tblStylePr>
    <w:tblStylePr w:type="band1Vert">
      <w:tblPr/>
      <w:tcPr>
        <w:tcBorders>
          <w:left w:color="FFFFFF" w:space="0" w:sz="4" w:themeColor="light1" w:val="single"/>
          <w:right w:color="FFFFFF" w:space="0" w:sz="4" w:themeColor="light1" w:val="single"/>
        </w:tcBorders>
        <w:shd w:color="92CCDC" w:fill="92CCDC" w:themeColor="accent5" w:themeFill="accent5"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tblStylePr w:type="band2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style>
  <w:style w:styleId="ListTable5Dark-Accent6" w:type="table">
    <w:name w:val="List Table 5 Dark Accent 6"/>
    <w:basedOn w:val="TableNormal"/>
    <w:uiPriority w:val="99"/>
    <w:tblPr>
      <w:tblStyleRowBandSize w:val="1"/>
      <w:tblStyleColBandSize w:val="1"/>
      <w:tblBorders>
        <w:top w:color="FAC090" w:space="0" w:sz="32" w:themeColor="accent6" w:themeTint="98" w:val="single"/>
        <w:left w:color="FAC090" w:space="0" w:sz="32" w:themeColor="accent6" w:themeTint="98" w:val="single"/>
        <w:bottom w:color="FAC090" w:space="0" w:sz="32" w:themeColor="accent6" w:themeTint="98" w:val="single"/>
        <w:right w:color="FAC090" w:space="0" w:sz="32" w:themeColor="accent6" w:themeTint="98" w:val="single"/>
      </w:tblBorders>
      <w:shd w:color="FAC090" w:fill="FAC090" w:themeColor="accent6" w:themeFill="accent6" w:themeFillTint="98" w:themeTint="98" w:val="clear"/>
    </w:tblPr>
    <w:tblStylePr w:type="firstRow">
      <w:rPr>
        <w:rFonts w:ascii="Arial" w:hAnsi="Arial"/>
        <w:b/>
        <w:color w:themeColor="light1" w:val="FFFFFF"/>
        <w:sz w:val="22"/>
      </w:rPr>
      <w:tblPr/>
      <w:tcPr>
        <w:tcBorders>
          <w:top w:color="FAC090" w:space="0" w:sz="32" w:themeColor="accent6" w:themeTint="98" w:val="single"/>
          <w:bottom w:color="FFFFFF" w:space="0" w:sz="12" w:themeColor="light1" w:val="single"/>
        </w:tcBorders>
        <w:shd w:color="FAC090" w:fill="FAC090" w:themeColor="accent6" w:themeFill="accent6"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FAC090" w:space="0" w:sz="32" w:themeColor="accent6" w:themeTint="98" w:val="single"/>
          <w:right w:color="FFFFFF" w:space="0" w:sz="4" w:themeColor="light1" w:val="single"/>
        </w:tcBorders>
      </w:tcPr>
    </w:tblStylePr>
    <w:tblStylePr w:type="lastCol">
      <w:tblPr/>
      <w:tcPr>
        <w:tcBorders>
          <w:left w:color="FFFFFF" w:space="0" w:sz="4" w:themeColor="light1" w:val="single"/>
          <w:right w:color="FAC090" w:space="0" w:sz="32" w:themeColor="accent6" w:themeTint="98" w:val="single"/>
        </w:tcBorders>
      </w:tcPr>
    </w:tblStylePr>
    <w:tblStylePr w:type="band1Vert">
      <w:tblPr/>
      <w:tcPr>
        <w:tcBorders>
          <w:left w:color="FFFFFF" w:space="0" w:sz="4" w:themeColor="light1" w:val="single"/>
          <w:right w:color="FFFFFF" w:space="0" w:sz="4" w:themeColor="light1" w:val="single"/>
        </w:tcBorders>
        <w:shd w:color="FAC090" w:fill="FAC090" w:themeColor="accent6" w:themeFill="accent6"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tblStylePr w:type="band2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style>
  <w:style w:styleId="ListTable6Colorful" w:type="table">
    <w:name w:val="List Table 6 Colorful"/>
    <w:basedOn w:val="TableNormal"/>
    <w:uiPriority w:val="99"/>
    <w:tblPr>
      <w:tblStyleRowBandSize w:val="1"/>
      <w:tblStyleColBandSize w:val="1"/>
      <w:tblBorders>
        <w:top w:color="7F7F7F" w:space="0" w:sz="4" w:themeColor="text1" w:themeTint="80" w:val="single"/>
        <w:bottom w:color="7F7F7F" w:space="0" w:sz="4" w:themeColor="text1" w:themeTint="80" w:val="single"/>
      </w:tblBorders>
    </w:tblPr>
    <w:tblStylePr w:type="firstRow">
      <w:rPr>
        <w:b/>
        <w:color w:themeColor="text1" w:val="000000"/>
      </w:rPr>
      <w:tblPr/>
      <w:tcPr>
        <w:tcBorders>
          <w:bottom w:color="7F7F7F" w:space="0" w:sz="4" w:themeColor="text1" w:themeTint="80" w:val="single"/>
        </w:tcBorders>
      </w:tcPr>
    </w:tblStylePr>
    <w:tblStylePr w:type="lastRow">
      <w:rPr>
        <w:b/>
        <w:color w:themeColor="text1" w:val="000000"/>
      </w:rPr>
      <w:tblPr/>
      <w:tcPr>
        <w:tcBorders>
          <w:top w:color="7F7F7F" w:space="0" w:sz="4" w:themeColor="text1" w:themeTint="80" w:val="single"/>
        </w:tcBorders>
      </w:tcPr>
    </w:tblStylePr>
    <w:tblStylePr w:type="firstCol">
      <w:rPr>
        <w:b/>
        <w:color w:themeColor="text1" w:val="000000"/>
      </w:rPr>
    </w:tblStylePr>
    <w:tblStylePr w:type="lastCol">
      <w:rPr>
        <w:b/>
        <w:color w:themeColor="text1" w:val="000000"/>
      </w:rPr>
    </w:tblStylePr>
    <w:tblStylePr w:type="band1Vert">
      <w:tblPr/>
      <w:tcPr>
        <w:shd w:color="BFBFBF" w:fill="BFBFBF" w:themeColor="text1" w:themeFill="text1" w:themeFillTint="40" w:themeTint="40" w:val="clear"/>
      </w:tcPr>
    </w:tblStylePr>
    <w:tblStylePr w:type="band1Horz">
      <w:rPr>
        <w:rFonts w:ascii="Arial" w:hAnsi="Arial"/>
        <w:color w:themeColor="text1" w:val="000000"/>
        <w:sz w:val="22"/>
      </w:rPr>
      <w:tblPr/>
      <w:tcPr>
        <w:shd w:color="BFBFBF" w:fill="BFBFBF" w:themeColor="text1" w:themeFill="text1" w:themeFillTint="40" w:themeTint="40" w:val="clear"/>
      </w:tcPr>
    </w:tblStylePr>
    <w:tblStylePr w:type="band2Horz">
      <w:rPr>
        <w:rFonts w:ascii="Arial" w:hAnsi="Arial"/>
        <w:color w:themeColor="text1" w:val="000000"/>
        <w:sz w:val="22"/>
      </w:rPr>
    </w:tblStylePr>
  </w:style>
  <w:style w:styleId="ListTable6Colorful-Accent1" w:type="table">
    <w:name w:val="List Table 6 Colorful Accent 1"/>
    <w:basedOn w:val="TableNormal"/>
    <w:uiPriority w:val="99"/>
    <w:tblPr>
      <w:tblStyleRowBandSize w:val="1"/>
      <w:tblStyleColBandSize w:val="1"/>
      <w:tblBorders>
        <w:top w:color="4F81BD" w:space="0" w:sz="4" w:themeColor="accent1" w:val="single"/>
        <w:bottom w:color="4F81BD" w:space="0" w:sz="4" w:themeColor="accent1" w:val="single"/>
      </w:tblBorders>
    </w:tblPr>
    <w:tblStylePr w:type="firstRow">
      <w:rPr>
        <w:b/>
        <w:color w:themeColor="accent1" w:themeShade="95" w:val="2A4A71"/>
      </w:rPr>
      <w:tblPr/>
      <w:tcPr>
        <w:tcBorders>
          <w:bottom w:color="4F81BD" w:space="0" w:sz="4" w:themeColor="accent1" w:val="single"/>
        </w:tcBorders>
      </w:tcPr>
    </w:tblStylePr>
    <w:tblStylePr w:type="lastRow">
      <w:rPr>
        <w:b/>
        <w:color w:themeColor="accent1" w:themeShade="95" w:val="2A4A71"/>
      </w:rPr>
      <w:tblPr/>
      <w:tcPr>
        <w:tcBorders>
          <w:top w:color="4F81BD" w:space="0" w:sz="4" w:themeColor="accent1" w:val="single"/>
        </w:tcBorders>
      </w:tcPr>
    </w:tblStylePr>
    <w:tblStylePr w:type="firstCol">
      <w:rPr>
        <w:b/>
        <w:color w:themeColor="accent1" w:themeShade="95" w:val="2A4A71"/>
      </w:rPr>
    </w:tblStylePr>
    <w:tblStylePr w:type="lastCol">
      <w:rPr>
        <w:b/>
        <w:color w:themeColor="accent1" w:themeShade="95" w:val="2A4A71"/>
      </w:r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6Colorful-Accent2" w:type="table">
    <w:name w:val="List Table 6 Colorful Accent 2"/>
    <w:basedOn w:val="TableNormal"/>
    <w:uiPriority w:val="99"/>
    <w:tblPr>
      <w:tblStyleRowBandSize w:val="1"/>
      <w:tblStyleColBandSize w:val="1"/>
      <w:tblBorders>
        <w:top w:color="D99695" w:space="0" w:sz="4" w:themeColor="accent2" w:themeTint="97" w:val="single"/>
        <w:bottom w:color="D99695" w:space="0" w:sz="4" w:themeColor="accent2" w:themeTint="97" w:val="single"/>
      </w:tblBorders>
    </w:tblPr>
    <w:tblStylePr w:type="firstRow">
      <w:rPr>
        <w:b/>
        <w:color w:themeColor="accent2" w:themeShade="95" w:themeTint="97" w:val="D99695"/>
      </w:rPr>
      <w:tblPr/>
      <w:tcPr>
        <w:tcBorders>
          <w:bottom w:color="D99695" w:space="0" w:sz="4" w:themeColor="accent2" w:themeTint="97" w:val="single"/>
        </w:tcBorders>
      </w:tcPr>
    </w:tblStylePr>
    <w:tblStylePr w:type="lastRow">
      <w:rPr>
        <w:b/>
        <w:color w:themeColor="accent2" w:themeShade="95" w:themeTint="97" w:val="D99695"/>
      </w:rPr>
      <w:tblPr/>
      <w:tcPr>
        <w:tcBorders>
          <w:top w:color="D99695" w:space="0" w:sz="4" w:themeColor="accent2" w:themeTint="97" w:val="single"/>
        </w:tcBorders>
      </w:tc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6Colorful-Accent3" w:type="table">
    <w:name w:val="List Table 6 Colorful Accent 3"/>
    <w:basedOn w:val="TableNormal"/>
    <w:uiPriority w:val="99"/>
    <w:tblPr>
      <w:tblStyleRowBandSize w:val="1"/>
      <w:tblStyleColBandSize w:val="1"/>
      <w:tblBorders>
        <w:top w:color="C3D69B" w:space="0" w:sz="4" w:themeColor="accent3" w:themeTint="98" w:val="single"/>
        <w:bottom w:color="C3D69B" w:space="0" w:sz="4" w:themeColor="accent3" w:themeTint="98" w:val="single"/>
      </w:tblBorders>
    </w:tblPr>
    <w:tblStylePr w:type="firstRow">
      <w:rPr>
        <w:b/>
        <w:color w:themeColor="accent3" w:themeShade="95" w:themeTint="98" w:val="C3D69B"/>
      </w:rPr>
      <w:tblPr/>
      <w:tcPr>
        <w:tcBorders>
          <w:bottom w:color="C3D69B" w:space="0" w:sz="4" w:themeColor="accent3" w:themeTint="98" w:val="single"/>
        </w:tcBorders>
      </w:tcPr>
    </w:tblStylePr>
    <w:tblStylePr w:type="lastRow">
      <w:rPr>
        <w:b/>
        <w:color w:themeColor="accent3" w:themeShade="95" w:themeTint="98" w:val="C3D69B"/>
      </w:rPr>
      <w:tblPr/>
      <w:tcPr>
        <w:tcBorders>
          <w:top w:color="C3D69B" w:space="0" w:sz="4" w:themeColor="accent3" w:themeTint="98" w:val="single"/>
        </w:tcBorders>
      </w:tcPr>
    </w:tblStylePr>
    <w:tblStylePr w:type="firstCol">
      <w:rPr>
        <w:b/>
        <w:color w:themeColor="accent3" w:themeShade="95" w:themeTint="98" w:val="C3D69B"/>
      </w:rPr>
    </w:tblStylePr>
    <w:tblStylePr w:type="lastCol">
      <w:rPr>
        <w:b/>
        <w:color w:themeColor="accent3" w:themeShade="95" w:themeTint="98" w:val="C3D69B"/>
      </w:r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6Colorful-Accent4" w:type="table">
    <w:name w:val="List Table 6 Colorful Accent 4"/>
    <w:basedOn w:val="TableNormal"/>
    <w:uiPriority w:val="99"/>
    <w:tblPr>
      <w:tblStyleRowBandSize w:val="1"/>
      <w:tblStyleColBandSize w:val="1"/>
      <w:tblBorders>
        <w:top w:color="B2A1C6" w:space="0" w:sz="4" w:themeColor="accent4" w:themeTint="9A" w:val="single"/>
        <w:bottom w:color="B2A1C6" w:space="0" w:sz="4" w:themeColor="accent4" w:themeTint="9A" w:val="single"/>
      </w:tblBorders>
    </w:tblPr>
    <w:tblStylePr w:type="firstRow">
      <w:rPr>
        <w:b/>
        <w:color w:themeColor="accent4" w:themeShade="95" w:themeTint="9A" w:val="B2A1C6"/>
      </w:rPr>
      <w:tblPr/>
      <w:tcPr>
        <w:tcBorders>
          <w:bottom w:color="B2A1C6" w:space="0" w:sz="4" w:themeColor="accent4" w:themeTint="9A" w:val="single"/>
        </w:tcBorders>
      </w:tcPr>
    </w:tblStylePr>
    <w:tblStylePr w:type="lastRow">
      <w:rPr>
        <w:b/>
        <w:color w:themeColor="accent4" w:themeShade="95" w:themeTint="9A" w:val="B2A1C6"/>
      </w:rPr>
      <w:tblPr/>
      <w:tcPr>
        <w:tcBorders>
          <w:top w:color="B2A1C6" w:space="0" w:sz="4" w:themeColor="accent4" w:themeTint="9A" w:val="single"/>
        </w:tcBorders>
      </w:tc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6Colorful-Accent5" w:type="table">
    <w:name w:val="List Table 6 Colorful Accent 5"/>
    <w:basedOn w:val="TableNormal"/>
    <w:uiPriority w:val="99"/>
    <w:tblPr>
      <w:tblStyleRowBandSize w:val="1"/>
      <w:tblStyleColBandSize w:val="1"/>
      <w:tblBorders>
        <w:top w:color="92CCDC" w:space="0" w:sz="4" w:themeColor="accent5" w:themeTint="9A" w:val="single"/>
        <w:bottom w:color="92CCDC" w:space="0" w:sz="4" w:themeColor="accent5" w:themeTint="9A" w:val="single"/>
      </w:tblBorders>
    </w:tblPr>
    <w:tblStylePr w:type="firstRow">
      <w:rPr>
        <w:b/>
        <w:color w:themeColor="accent5" w:themeShade="95" w:themeTint="9A" w:val="92CCDC"/>
      </w:rPr>
      <w:tblPr/>
      <w:tcPr>
        <w:tcBorders>
          <w:bottom w:color="92CCDC" w:space="0" w:sz="4" w:themeColor="accent5" w:themeTint="9A" w:val="single"/>
        </w:tcBorders>
      </w:tcPr>
    </w:tblStylePr>
    <w:tblStylePr w:type="lastRow">
      <w:rPr>
        <w:b/>
        <w:color w:themeColor="accent5" w:themeShade="95" w:themeTint="9A" w:val="92CCDC"/>
      </w:rPr>
      <w:tblPr/>
      <w:tcPr>
        <w:tcBorders>
          <w:top w:color="92CCDC" w:space="0" w:sz="4" w:themeColor="accent5" w:themeTint="9A" w:val="single"/>
        </w:tcBorders>
      </w:tcPr>
    </w:tblStylePr>
    <w:tblStylePr w:type="firstCol">
      <w:rPr>
        <w:b/>
        <w:color w:themeColor="accent5" w:themeShade="95" w:themeTint="9A" w:val="92CCDC"/>
      </w:rPr>
    </w:tblStylePr>
    <w:tblStylePr w:type="lastCol">
      <w:rPr>
        <w:b/>
        <w:color w:themeColor="accent5" w:themeShade="95" w:themeTint="9A" w:val="92CCDC"/>
      </w:r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6Colorful-Accent6" w:type="table">
    <w:name w:val="List Table 6 Colorful Accent 6"/>
    <w:basedOn w:val="TableNormal"/>
    <w:uiPriority w:val="99"/>
    <w:tblPr>
      <w:tblStyleRowBandSize w:val="1"/>
      <w:tblStyleColBandSize w:val="1"/>
      <w:tblBorders>
        <w:top w:color="FAC090" w:space="0" w:sz="4" w:themeColor="accent6" w:themeTint="98" w:val="single"/>
        <w:bottom w:color="FAC090" w:space="0" w:sz="4" w:themeColor="accent6" w:themeTint="98" w:val="single"/>
      </w:tblBorders>
    </w:tblPr>
    <w:tblStylePr w:type="firstRow">
      <w:rPr>
        <w:b/>
        <w:color w:themeColor="accent6" w:themeShade="95" w:themeTint="98" w:val="FAC090"/>
      </w:rPr>
      <w:tblPr/>
      <w:tcPr>
        <w:tcBorders>
          <w:bottom w:color="FAC090" w:space="0" w:sz="4" w:themeColor="accent6" w:themeTint="98" w:val="single"/>
        </w:tcBorders>
      </w:tcPr>
    </w:tblStylePr>
    <w:tblStylePr w:type="lastRow">
      <w:rPr>
        <w:b/>
        <w:color w:themeColor="accent6" w:themeShade="95" w:themeTint="98" w:val="FAC090"/>
      </w:rPr>
      <w:tblPr/>
      <w:tcPr>
        <w:tcBorders>
          <w:top w:color="FAC090" w:space="0" w:sz="4" w:themeColor="accent6" w:themeTint="98" w:val="single"/>
        </w:tcBorders>
      </w:tcPr>
    </w:tblStylePr>
    <w:tblStylePr w:type="firstCol">
      <w:rPr>
        <w:b/>
        <w:color w:themeColor="accent6" w:themeShade="95" w:themeTint="98" w:val="FAC090"/>
      </w:rPr>
    </w:tblStylePr>
    <w:tblStylePr w:type="lastCol">
      <w:rPr>
        <w:b/>
        <w:color w:themeColor="accent6" w:themeShade="95" w:themeTint="98" w:val="FAC090"/>
      </w:r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styleId="ListTable7Colorful" w:type="table">
    <w:name w:val="List Table 7 Colorful"/>
    <w:basedOn w:val="TableNormal"/>
    <w:uiPriority w:val="99"/>
    <w:tblPr>
      <w:tblStyleRowBandSize w:val="1"/>
      <w:tblStyleColBandSize w:val="1"/>
      <w:tblBorders>
        <w:right w:color="7F7F7F" w:space="0" w:sz="4" w:themeColor="text1" w:themeTint="80" w:val="single"/>
      </w:tblBorders>
    </w:tblPr>
    <w:tblStylePr w:type="firstRow">
      <w:rPr>
        <w:rFonts w:ascii="Arial" w:hAnsi="Arial"/>
        <w:i/>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i/>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BFBFBF" w:fill="BFBFBF" w:themeColor="text1" w:themeFill="text1" w:themeFillTint="40" w:themeTint="40" w:val="clear"/>
      </w:tcPr>
    </w:tblStylePr>
    <w:tblStylePr w:type="band1Horz">
      <w:rPr>
        <w:rFonts w:ascii="Arial" w:hAnsi="Arial"/>
        <w:color w:themeColor="text1" w:themeShade="95" w:themeTint="80" w:val="7F7F7F"/>
        <w:sz w:val="22"/>
      </w:rPr>
      <w:tblPr/>
      <w:tcPr>
        <w:shd w:color="BFBFBF" w:fill="BFBFBF" w:themeColor="text1" w:themeFill="text1" w:themeFillTint="40" w:themeTint="40" w:val="clear"/>
      </w:tcPr>
    </w:tblStylePr>
    <w:tblStylePr w:type="band2Horz">
      <w:rPr>
        <w:rFonts w:ascii="Arial" w:hAnsi="Arial"/>
        <w:color w:themeColor="text1" w:themeShade="95" w:themeTint="80" w:val="7F7F7F"/>
        <w:sz w:val="22"/>
      </w:rPr>
    </w:tblStylePr>
  </w:style>
  <w:style w:styleId="ListTable7Colorful-Accent1" w:type="table">
    <w:name w:val="List Table 7 Colorful Accent 1"/>
    <w:basedOn w:val="TableNormal"/>
    <w:uiPriority w:val="99"/>
    <w:tblPr>
      <w:tblStyleRowBandSize w:val="1"/>
      <w:tblStyleColBandSize w:val="1"/>
      <w:tblBorders>
        <w:right w:color="4F81BD" w:space="0" w:sz="4" w:themeColor="accent1" w:val="single"/>
      </w:tblBorders>
    </w:tblPr>
    <w:tblStylePr w:type="firstRow">
      <w:rPr>
        <w:rFonts w:ascii="Arial" w:hAnsi="Arial"/>
        <w:i/>
        <w:color w:themeColor="accent1" w:themeShade="95" w:val="2A4A71"/>
        <w:sz w:val="22"/>
      </w:rPr>
      <w:tblPr/>
      <w:tcPr>
        <w:tcBorders>
          <w:top w:color="000000" w:space="0" w:sz="4" w:val="none"/>
          <w:left w:color="000000" w:space="0" w:sz="4" w:val="none"/>
          <w:bottom w:color="4F81BD" w:space="0" w:sz="4" w:themeColor="accent1" w:val="single"/>
          <w:right w:color="000000" w:space="0" w:sz="4" w:val="none"/>
        </w:tcBorders>
        <w:shd w:color="FFFFFF" w:fill="FFFFFF" w:themeColor="light1" w:themeFill="light1" w:val="clear"/>
      </w:tcPr>
    </w:tblStylePr>
    <w:tblStylePr w:type="lastRow">
      <w:rPr>
        <w:rFonts w:ascii="Arial" w:hAnsi="Arial"/>
        <w:i/>
        <w:color w:themeColor="accent1" w:themeShade="95" w:val="2A4A71"/>
        <w:sz w:val="22"/>
      </w:rPr>
      <w:tblPr/>
      <w:tcPr>
        <w:tcBorders>
          <w:top w:color="4F81BD" w:space="0" w:sz="4" w:themeColor="accent1"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val="2A4A71"/>
        <w:sz w:val="22"/>
      </w:rPr>
      <w:tblPr/>
      <w:tcPr>
        <w:tcBorders>
          <w:top w:color="000000" w:space="0" w:sz="4" w:val="none"/>
          <w:left w:color="000000" w:space="0" w:sz="4" w:val="none"/>
          <w:bottom w:color="000000" w:space="0" w:sz="4" w:val="none"/>
          <w:right w:color="4F81BD" w:space="0" w:sz="4" w:themeColor="accent1" w:val="single"/>
        </w:tcBorders>
        <w:shd w:color="FFFFFF" w:fill="auto" w:val="clear"/>
      </w:tcPr>
    </w:tblStylePr>
    <w:tblStylePr w:type="lastCol">
      <w:rPr>
        <w:rFonts w:ascii="Arial" w:hAnsi="Arial"/>
        <w:i/>
        <w:color w:themeColor="accent1" w:themeShade="95" w:val="2A4A71"/>
        <w:sz w:val="22"/>
      </w:rPr>
      <w:tblPr/>
      <w:tcPr>
        <w:tcBorders>
          <w:top w:color="000000" w:space="0" w:sz="4" w:val="none"/>
          <w:left w:color="4F81BD" w:space="0" w:sz="4" w:themeColor="accent1" w:val="single"/>
          <w:bottom w:color="000000" w:space="0" w:sz="4" w:val="none"/>
          <w:right w:color="000000" w:space="0" w:sz="4" w:val="none"/>
        </w:tcBorders>
        <w:shd w:color="FFFFFF" w:fill="auto" w:val="clear"/>
      </w:tc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7Colorful-Accent2" w:type="table">
    <w:name w:val="List Table 7 Colorful Accent 2"/>
    <w:basedOn w:val="TableNormal"/>
    <w:uiPriority w:val="99"/>
    <w:tblPr>
      <w:tblStyleRowBandSize w:val="1"/>
      <w:tblStyleColBandSize w:val="1"/>
      <w:tblBorders>
        <w:right w:color="D99695" w:space="0" w:sz="4" w:themeColor="accent2" w:themeTint="97" w:val="single"/>
      </w:tblBorders>
    </w:tblPr>
    <w:tblStylePr w:type="firstRow">
      <w:rPr>
        <w:rFonts w:ascii="Arial" w:hAnsi="Arial"/>
        <w:i/>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i/>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7Colorful-Accent3" w:type="table">
    <w:name w:val="List Table 7 Colorful Accent 3"/>
    <w:basedOn w:val="TableNormal"/>
    <w:uiPriority w:val="99"/>
    <w:tblPr>
      <w:tblStyleRowBandSize w:val="1"/>
      <w:tblStyleColBandSize w:val="1"/>
      <w:tblBorders>
        <w:right w:color="C3D69B" w:space="0" w:sz="4" w:themeColor="accent3" w:themeTint="98" w:val="single"/>
      </w:tblBorders>
    </w:tblPr>
    <w:tblStylePr w:type="firstRow">
      <w:rPr>
        <w:rFonts w:ascii="Arial" w:hAnsi="Arial"/>
        <w:i/>
        <w:color w:themeColor="accent3" w:themeShade="95" w:themeTint="98" w:val="C3D69B"/>
        <w:sz w:val="22"/>
      </w:rPr>
      <w:tblPr/>
      <w:tcPr>
        <w:tcBorders>
          <w:top w:color="000000" w:space="0" w:sz="4" w:val="none"/>
          <w:left w:color="000000" w:space="0" w:sz="4" w:val="none"/>
          <w:bottom w:color="C3D69B" w:space="0" w:sz="4" w:themeColor="accent3" w:themeTint="98" w:val="single"/>
          <w:right w:color="000000" w:space="0" w:sz="4" w:val="none"/>
        </w:tcBorders>
        <w:shd w:color="FFFFFF" w:fill="FFFFFF" w:themeColor="light1" w:themeFill="light1" w:val="clear"/>
      </w:tcPr>
    </w:tblStylePr>
    <w:tblStylePr w:type="lastRow">
      <w:rPr>
        <w:rFonts w:ascii="Arial" w:hAnsi="Arial"/>
        <w:i/>
        <w:color w:themeColor="accent3" w:themeShade="95" w:themeTint="98" w:val="C3D69B"/>
        <w:sz w:val="22"/>
      </w:rPr>
      <w:tblPr/>
      <w:tcPr>
        <w:tcBorders>
          <w:top w:color="C3D69B" w:space="0" w:sz="4" w:themeColor="accent3"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98" w:val="C3D69B"/>
        <w:sz w:val="22"/>
      </w:rPr>
      <w:tblPr/>
      <w:tcPr>
        <w:tcBorders>
          <w:top w:color="000000" w:space="0" w:sz="4" w:val="none"/>
          <w:left w:color="000000" w:space="0" w:sz="4" w:val="none"/>
          <w:bottom w:color="000000" w:space="0" w:sz="4" w:val="none"/>
          <w:right w:color="C3D69B" w:space="0" w:sz="4" w:themeColor="accent3" w:themeTint="98" w:val="single"/>
        </w:tcBorders>
        <w:shd w:color="FFFFFF" w:fill="auto" w:val="clear"/>
      </w:tcPr>
    </w:tblStylePr>
    <w:tblStylePr w:type="lastCol">
      <w:rPr>
        <w:rFonts w:ascii="Arial" w:hAnsi="Arial"/>
        <w:i/>
        <w:color w:themeColor="accent3" w:themeShade="95" w:themeTint="98" w:val="C3D69B"/>
        <w:sz w:val="22"/>
      </w:rPr>
      <w:tblPr/>
      <w:tcPr>
        <w:tcBorders>
          <w:top w:color="000000" w:space="0" w:sz="4" w:val="none"/>
          <w:left w:color="C3D69B" w:space="0" w:sz="4" w:themeColor="accent3" w:themeTint="98" w:val="single"/>
          <w:bottom w:color="000000" w:space="0" w:sz="4" w:val="none"/>
          <w:right w:color="000000" w:space="0" w:sz="4" w:val="none"/>
        </w:tcBorders>
        <w:shd w:color="FFFFFF" w:fill="auto" w:val="clear"/>
      </w:tc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7Colorful-Accent4" w:type="table">
    <w:name w:val="List Table 7 Colorful Accent 4"/>
    <w:basedOn w:val="TableNormal"/>
    <w:uiPriority w:val="99"/>
    <w:tblPr>
      <w:tblStyleRowBandSize w:val="1"/>
      <w:tblStyleColBandSize w:val="1"/>
      <w:tblBorders>
        <w:right w:color="B2A1C6" w:space="0" w:sz="4" w:themeColor="accent4" w:themeTint="9A" w:val="single"/>
      </w:tblBorders>
    </w:tblPr>
    <w:tblStylePr w:type="firstRow">
      <w:rPr>
        <w:rFonts w:ascii="Arial" w:hAnsi="Arial"/>
        <w:i/>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i/>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7Colorful-Accent5" w:type="table">
    <w:name w:val="List Table 7 Colorful Accent 5"/>
    <w:basedOn w:val="TableNormal"/>
    <w:uiPriority w:val="99"/>
    <w:tblPr>
      <w:tblStyleRowBandSize w:val="1"/>
      <w:tblStyleColBandSize w:val="1"/>
      <w:tblBorders>
        <w:right w:color="92CCDC" w:space="0" w:sz="4" w:themeColor="accent5" w:themeTint="9A" w:val="single"/>
      </w:tblBorders>
    </w:tblPr>
    <w:tblStylePr w:type="firstRow">
      <w:rPr>
        <w:rFonts w:ascii="Arial" w:hAnsi="Arial"/>
        <w:i/>
        <w:color w:themeColor="accent5" w:themeShade="95" w:themeTint="9A" w:val="92CCDC"/>
        <w:sz w:val="22"/>
      </w:rPr>
      <w:tblPr/>
      <w:tcPr>
        <w:tcBorders>
          <w:top w:color="000000" w:space="0" w:sz="4" w:val="none"/>
          <w:left w:color="000000" w:space="0" w:sz="4" w:val="none"/>
          <w:bottom w:color="92CCDC" w:space="0" w:sz="4" w:themeColor="accent5" w:themeTint="9A" w:val="single"/>
          <w:right w:color="000000" w:space="0" w:sz="4" w:val="none"/>
        </w:tcBorders>
        <w:shd w:color="FFFFFF" w:fill="FFFFFF" w:themeColor="light1" w:themeFill="light1" w:val="clear"/>
      </w:tcPr>
    </w:tblStylePr>
    <w:tblStylePr w:type="lastRow">
      <w:rPr>
        <w:rFonts w:ascii="Arial" w:hAnsi="Arial"/>
        <w:i/>
        <w:color w:themeColor="accent5" w:themeShade="95" w:themeTint="9A" w:val="92CCDC"/>
        <w:sz w:val="22"/>
      </w:rPr>
      <w:tblPr/>
      <w:tcPr>
        <w:tcBorders>
          <w:top w:color="92CCDC" w:space="0" w:sz="4" w:themeColor="accent5"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themeTint="9A" w:val="92CCDC"/>
        <w:sz w:val="22"/>
      </w:rPr>
      <w:tblPr/>
      <w:tcPr>
        <w:tcBorders>
          <w:top w:color="000000" w:space="0" w:sz="4" w:val="none"/>
          <w:left w:color="000000" w:space="0" w:sz="4" w:val="none"/>
          <w:bottom w:color="000000" w:space="0" w:sz="4" w:val="none"/>
          <w:right w:color="92CCDC" w:space="0" w:sz="4" w:themeColor="accent5" w:themeTint="9A" w:val="single"/>
        </w:tcBorders>
        <w:shd w:color="FFFFFF" w:fill="auto" w:val="clear"/>
      </w:tcPr>
    </w:tblStylePr>
    <w:tblStylePr w:type="lastCol">
      <w:rPr>
        <w:rFonts w:ascii="Arial" w:hAnsi="Arial"/>
        <w:i/>
        <w:color w:themeColor="accent5" w:themeShade="95" w:themeTint="9A" w:val="92CCDC"/>
        <w:sz w:val="22"/>
      </w:rPr>
      <w:tblPr/>
      <w:tcPr>
        <w:tcBorders>
          <w:top w:color="000000" w:space="0" w:sz="4" w:val="none"/>
          <w:left w:color="92CCDC" w:space="0" w:sz="4" w:themeColor="accent5" w:themeTint="9A" w:val="single"/>
          <w:bottom w:color="000000" w:space="0" w:sz="4" w:val="none"/>
          <w:right w:color="000000" w:space="0" w:sz="4" w:val="none"/>
        </w:tcBorders>
        <w:shd w:color="FFFFFF" w:fill="auto" w:val="clear"/>
      </w:tc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7Colorful-Accent6" w:type="table">
    <w:name w:val="List Table 7 Colorful Accent 6"/>
    <w:basedOn w:val="TableNormal"/>
    <w:uiPriority w:val="99"/>
    <w:tblPr>
      <w:tblStyleRowBandSize w:val="1"/>
      <w:tblStyleColBandSize w:val="1"/>
      <w:tblBorders>
        <w:right w:color="FAC090" w:space="0" w:sz="4" w:themeColor="accent6" w:themeTint="98" w:val="single"/>
      </w:tblBorders>
    </w:tblPr>
    <w:tblStylePr w:type="firstRow">
      <w:rPr>
        <w:rFonts w:ascii="Arial" w:hAnsi="Arial"/>
        <w:i/>
        <w:color w:themeColor="accent6" w:themeShade="95" w:themeTint="98" w:val="FAC090"/>
        <w:sz w:val="22"/>
      </w:rPr>
      <w:tblPr/>
      <w:tcPr>
        <w:tcBorders>
          <w:top w:color="000000" w:space="0" w:sz="4" w:val="none"/>
          <w:left w:color="000000" w:space="0" w:sz="4" w:val="none"/>
          <w:bottom w:color="FAC090" w:space="0" w:sz="4" w:themeColor="accent6" w:themeTint="98" w:val="single"/>
          <w:right w:color="000000" w:space="0" w:sz="4" w:val="none"/>
        </w:tcBorders>
        <w:shd w:color="FFFFFF" w:fill="FFFFFF" w:themeColor="light1" w:themeFill="light1" w:val="clear"/>
      </w:tcPr>
    </w:tblStylePr>
    <w:tblStylePr w:type="lastRow">
      <w:rPr>
        <w:rFonts w:ascii="Arial" w:hAnsi="Arial"/>
        <w:i/>
        <w:color w:themeColor="accent6" w:themeShade="95" w:themeTint="98" w:val="FAC090"/>
        <w:sz w:val="22"/>
      </w:rPr>
      <w:tblPr/>
      <w:tcPr>
        <w:tcBorders>
          <w:top w:color="FAC090" w:space="0" w:sz="4" w:themeColor="accent6"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themeTint="98" w:val="FAC090"/>
        <w:sz w:val="22"/>
      </w:rPr>
      <w:tblPr/>
      <w:tcPr>
        <w:tcBorders>
          <w:top w:color="000000" w:space="0" w:sz="4" w:val="none"/>
          <w:left w:color="000000" w:space="0" w:sz="4" w:val="none"/>
          <w:bottom w:color="000000" w:space="0" w:sz="4" w:val="none"/>
          <w:right w:color="FAC090" w:space="0" w:sz="4" w:themeColor="accent6" w:themeTint="98" w:val="single"/>
        </w:tcBorders>
        <w:shd w:color="FFFFFF" w:fill="auto" w:val="clear"/>
      </w:tcPr>
    </w:tblStylePr>
    <w:tblStylePr w:type="lastCol">
      <w:rPr>
        <w:rFonts w:ascii="Arial" w:hAnsi="Arial"/>
        <w:i/>
        <w:color w:themeColor="accent6" w:themeShade="95" w:themeTint="98" w:val="FAC090"/>
        <w:sz w:val="22"/>
      </w:rPr>
      <w:tblPr/>
      <w:tcPr>
        <w:tcBorders>
          <w:top w:color="000000" w:space="0" w:sz="4" w:val="none"/>
          <w:left w:color="FAC090" w:space="0" w:sz="4" w:themeColor="accent6" w:themeTint="98" w:val="single"/>
          <w:bottom w:color="000000" w:space="0" w:sz="4" w:val="none"/>
          <w:right w:color="000000" w:space="0" w:sz="4" w:val="none"/>
        </w:tcBorders>
        <w:shd w:color="FFFFFF" w:fill="auto" w:val="clear"/>
      </w:tc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customStyle="1" w:styleId="Lined-Accent" w:type="table">
    <w:name w:val="Lined - Accent"/>
    <w:basedOn w:val="TableNormal"/>
    <w:uiPriority w:val="99"/>
    <w:rPr>
      <w:color w:val="404040"/>
    </w:rPr>
    <w:tblPr>
      <w:tblStyleRowBandSize w:val="1"/>
      <w:tblStyleColBandSize w:val="1"/>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Lined-Accent1" w:type="table">
    <w:name w:val="Lined - Accent 1"/>
    <w:basedOn w:val="TableNormal"/>
    <w:uiPriority w:val="99"/>
    <w:rPr>
      <w:color w:val="404040"/>
    </w:rPr>
    <w:tblPr>
      <w:tblStyleRowBandSize w:val="1"/>
      <w:tblStyleColBandSize w:val="1"/>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Lined-Accent2" w:type="table">
    <w:name w:val="Lined - Accent 2"/>
    <w:basedOn w:val="TableNormal"/>
    <w:uiPriority w:val="99"/>
    <w:rPr>
      <w:color w:val="404040"/>
    </w:rPr>
    <w:tblPr>
      <w:tblStyleRowBandSize w:val="1"/>
      <w:tblStyleColBandSize w:val="1"/>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Lined-Accent3" w:type="table">
    <w:name w:val="Lined - Accent 3"/>
    <w:basedOn w:val="TableNormal"/>
    <w:uiPriority w:val="99"/>
    <w:rPr>
      <w:color w:val="404040"/>
    </w:rPr>
    <w:tblPr>
      <w:tblStyleRowBandSize w:val="1"/>
      <w:tblStyleColBandSize w:val="1"/>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Lined-Accent4" w:type="table">
    <w:name w:val="Lined - Accent 4"/>
    <w:basedOn w:val="TableNormal"/>
    <w:uiPriority w:val="99"/>
    <w:rPr>
      <w:color w:val="404040"/>
    </w:rPr>
    <w:tblPr>
      <w:tblStyleRowBandSize w:val="1"/>
      <w:tblStyleColBandSize w:val="1"/>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Lined-Accent5" w:type="table">
    <w:name w:val="Lined - Accent 5"/>
    <w:basedOn w:val="TableNormal"/>
    <w:uiPriority w:val="99"/>
    <w:rPr>
      <w:color w:val="404040"/>
    </w:rPr>
    <w:tblPr>
      <w:tblStyleRowBandSize w:val="1"/>
      <w:tblStyleColBandSize w:val="1"/>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Lined-Accent6" w:type="table">
    <w:name w:val="Lined - Accent 6"/>
    <w:basedOn w:val="TableNormal"/>
    <w:uiPriority w:val="99"/>
    <w:rPr>
      <w:color w:val="404040"/>
    </w:rPr>
    <w:tblPr>
      <w:tblStyleRowBandSize w:val="1"/>
      <w:tblStyleColBandSize w:val="1"/>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Lined-Accent" w:type="table">
    <w:name w:val="Bordered &amp; Lined - Accent"/>
    <w:basedOn w:val="TableNormal"/>
    <w:uiPriority w:val="99"/>
    <w:rPr>
      <w:color w:val="404040"/>
    </w:rPr>
    <w:tblPr>
      <w:tblStyleRowBandSize w:val="1"/>
      <w:tblStyleColBandSize w:val="1"/>
      <w:tblBorders>
        <w:top w:color="595959" w:space="0" w:sz="4" w:themeColor="text1" w:themeTint="A6" w:val="single"/>
        <w:left w:color="595959" w:space="0" w:sz="4" w:themeColor="text1" w:themeTint="A6" w:val="single"/>
        <w:bottom w:color="595959" w:space="0" w:sz="4" w:themeColor="text1" w:themeTint="A6" w:val="single"/>
        <w:right w:color="595959" w:space="0" w:sz="4" w:themeColor="text1" w:themeTint="A6" w:val="single"/>
        <w:insideH w:color="595959" w:space="0" w:sz="4" w:themeColor="text1" w:themeTint="A6" w:val="single"/>
        <w:insideV w:color="595959" w:space="0" w:sz="4" w:themeColor="text1" w:themeTint="A6" w:val="single"/>
      </w:tblBorders>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BorderedLined-Accent1" w:type="table">
    <w:name w:val="Bordered &amp; Lined - Accent 1"/>
    <w:basedOn w:val="TableNormal"/>
    <w:uiPriority w:val="99"/>
    <w:rPr>
      <w:color w:val="404040"/>
    </w:rPr>
    <w:tblPr>
      <w:tblStyleRowBandSize w:val="1"/>
      <w:tblStyleColBandSize w:val="1"/>
      <w:tblBorders>
        <w:top w:color="2A4A71" w:space="0" w:sz="4" w:themeColor="accent1" w:themeShade="95" w:val="single"/>
        <w:left w:color="2A4A71" w:space="0" w:sz="4" w:themeColor="accent1" w:themeShade="95" w:val="single"/>
        <w:bottom w:color="2A4A71" w:space="0" w:sz="4" w:themeColor="accent1" w:themeShade="95" w:val="single"/>
        <w:right w:color="2A4A71" w:space="0" w:sz="4" w:themeColor="accent1" w:themeShade="95" w:val="single"/>
        <w:insideH w:color="2A4A71" w:space="0" w:sz="4" w:themeColor="accent1" w:themeShade="95" w:val="single"/>
        <w:insideV w:color="2A4A71" w:space="0" w:sz="4" w:themeColor="accent1" w:themeShade="95" w:val="single"/>
      </w:tblBorders>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BorderedLined-Accent2" w:type="table">
    <w:name w:val="Bordered &amp; Lined - Accent 2"/>
    <w:basedOn w:val="TableNormal"/>
    <w:uiPriority w:val="99"/>
    <w:rPr>
      <w:color w:val="404040"/>
    </w:rPr>
    <w:tblPr>
      <w:tblStyleRowBandSize w:val="1"/>
      <w:tblStyleColBandSize w:val="1"/>
      <w:tblBorders>
        <w:top w:color="732A29" w:space="0" w:sz="4" w:themeColor="accent2" w:themeShade="95" w:val="single"/>
        <w:left w:color="732A29" w:space="0" w:sz="4" w:themeColor="accent2" w:themeShade="95" w:val="single"/>
        <w:bottom w:color="732A29" w:space="0" w:sz="4" w:themeColor="accent2" w:themeShade="95" w:val="single"/>
        <w:right w:color="732A29" w:space="0" w:sz="4" w:themeColor="accent2" w:themeShade="95" w:val="single"/>
        <w:insideH w:color="732A29" w:space="0" w:sz="4" w:themeColor="accent2" w:themeShade="95" w:val="single"/>
        <w:insideV w:color="732A29" w:space="0" w:sz="4" w:themeColor="accent2" w:themeShade="95" w:val="single"/>
      </w:tblBorders>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BorderedLined-Accent3" w:type="table">
    <w:name w:val="Bordered &amp; Lined - Accent 3"/>
    <w:basedOn w:val="TableNormal"/>
    <w:uiPriority w:val="99"/>
    <w:rPr>
      <w:color w:val="404040"/>
    </w:rPr>
    <w:tblPr>
      <w:tblStyleRowBandSize w:val="1"/>
      <w:tblStyleColBandSize w:val="1"/>
      <w:tblBorders>
        <w:top w:color="5B722E" w:space="0" w:sz="4" w:themeColor="accent3" w:themeShade="95" w:val="single"/>
        <w:left w:color="5B722E" w:space="0" w:sz="4" w:themeColor="accent3" w:themeShade="95" w:val="single"/>
        <w:bottom w:color="5B722E" w:space="0" w:sz="4" w:themeColor="accent3" w:themeShade="95" w:val="single"/>
        <w:right w:color="5B722E" w:space="0" w:sz="4" w:themeColor="accent3" w:themeShade="95" w:val="single"/>
        <w:insideH w:color="5B722E" w:space="0" w:sz="4" w:themeColor="accent3" w:themeShade="95" w:val="single"/>
        <w:insideV w:color="5B722E" w:space="0" w:sz="4" w:themeColor="accent3" w:themeShade="95" w:val="single"/>
      </w:tblBorders>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BorderedLined-Accent4" w:type="table">
    <w:name w:val="Bordered &amp; Lined - Accent 4"/>
    <w:basedOn w:val="TableNormal"/>
    <w:uiPriority w:val="99"/>
    <w:rPr>
      <w:color w:val="404040"/>
    </w:rPr>
    <w:tblPr>
      <w:tblStyleRowBandSize w:val="1"/>
      <w:tblStyleColBandSize w:val="1"/>
      <w:tblBorders>
        <w:top w:color="4A395F" w:space="0" w:sz="4" w:themeColor="accent4" w:themeShade="95" w:val="single"/>
        <w:left w:color="4A395F" w:space="0" w:sz="4" w:themeColor="accent4" w:themeShade="95" w:val="single"/>
        <w:bottom w:color="4A395F" w:space="0" w:sz="4" w:themeColor="accent4" w:themeShade="95" w:val="single"/>
        <w:right w:color="4A395F" w:space="0" w:sz="4" w:themeColor="accent4" w:themeShade="95" w:val="single"/>
        <w:insideH w:color="4A395F" w:space="0" w:sz="4" w:themeColor="accent4" w:themeShade="95" w:val="single"/>
        <w:insideV w:color="4A395F" w:space="0" w:sz="4" w:themeColor="accent4" w:themeShade="95" w:val="single"/>
      </w:tblBorders>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BorderedLined-Accent5" w:type="table">
    <w:name w:val="Bordered &amp; Lined - Accent 5"/>
    <w:basedOn w:val="TableNormal"/>
    <w:uiPriority w:val="99"/>
    <w:rPr>
      <w:color w:val="404040"/>
    </w:rPr>
    <w:tblPr>
      <w:tblStyleRowBandSize w:val="1"/>
      <w:tblStyleColBandSize w:val="1"/>
      <w:tblBorders>
        <w:top w:color="266779" w:space="0" w:sz="4" w:themeColor="accent5" w:themeShade="95" w:val="single"/>
        <w:left w:color="266779" w:space="0" w:sz="4" w:themeColor="accent5" w:themeShade="95" w:val="single"/>
        <w:bottom w:color="266779" w:space="0" w:sz="4" w:themeColor="accent5" w:themeShade="95" w:val="single"/>
        <w:right w:color="266779" w:space="0" w:sz="4" w:themeColor="accent5" w:themeShade="95" w:val="single"/>
        <w:insideH w:color="266779" w:space="0" w:sz="4" w:themeColor="accent5" w:themeShade="95" w:val="single"/>
        <w:insideV w:color="266779" w:space="0" w:sz="4" w:themeColor="accent5" w:themeShade="95" w:val="single"/>
      </w:tblBorders>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BorderedLined-Accent6" w:type="table">
    <w:name w:val="Bordered &amp; Lined - Accent 6"/>
    <w:basedOn w:val="TableNormal"/>
    <w:uiPriority w:val="99"/>
    <w:rPr>
      <w:color w:val="404040"/>
    </w:rPr>
    <w:tblPr>
      <w:tblStyleRowBandSize w:val="1"/>
      <w:tblStyleColBandSize w:val="1"/>
      <w:tblBorders>
        <w:top w:color="B15407" w:space="0" w:sz="4" w:themeColor="accent6" w:themeShade="95" w:val="single"/>
        <w:left w:color="B15407" w:space="0" w:sz="4" w:themeColor="accent6" w:themeShade="95" w:val="single"/>
        <w:bottom w:color="B15407" w:space="0" w:sz="4" w:themeColor="accent6" w:themeShade="95" w:val="single"/>
        <w:right w:color="B15407" w:space="0" w:sz="4" w:themeColor="accent6" w:themeShade="95" w:val="single"/>
        <w:insideH w:color="B15407" w:space="0" w:sz="4" w:themeColor="accent6" w:themeShade="95" w:val="single"/>
        <w:insideV w:color="B15407" w:space="0" w:sz="4" w:themeColor="accent6" w:themeShade="95" w:val="single"/>
      </w:tblBorders>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 w:type="table">
    <w:name w:val="Bordered"/>
    <w:basedOn w:val="TableNormal"/>
    <w:uiPriority w:val="99"/>
    <w:tblPr>
      <w:tblStyleRowBandSize w:val="1"/>
      <w:tblStyleColBandSize w:val="1"/>
      <w:tbl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insideH w:color="D9D9D9" w:space="0" w:sz="4" w:themeColor="text1" w:themeTint="26" w:val="single"/>
        <w:insideV w:color="D9D9D9" w:space="0" w:sz="4" w:themeColor="text1" w:themeTint="26" w:val="single"/>
      </w:tblBorders>
    </w:tblPr>
    <w:tblStylePr w:type="firstRow">
      <w:rPr>
        <w:rFonts w:ascii="Arial" w:hAnsi="Arial"/>
        <w:color w:val="404040"/>
        <w:sz w:val="22"/>
      </w:rPr>
      <w:tblPr/>
      <w:tcPr>
        <w:tcBorders>
          <w:bottom w:color="7F7F7F" w:space="0" w:sz="12" w:themeColor="text1" w:themeTint="80" w:val="single"/>
        </w:tcBorders>
      </w:tcPr>
    </w:tblStylePr>
    <w:tblStylePr w:type="lastRow">
      <w:rPr>
        <w:rFonts w:ascii="Arial" w:hAnsi="Arial"/>
        <w:color w:val="404040"/>
        <w:sz w:val="22"/>
      </w:rPr>
      <w:tblPr/>
      <w:tcPr>
        <w:tcBorders>
          <w:top w:color="7F7F7F" w:space="0" w:sz="12" w:themeColor="text1" w:themeTint="80"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7F7F7F" w:space="0" w:sz="12" w:themeColor="text1" w:themeTint="80" w:val="single"/>
        </w:tcBorders>
      </w:tcPr>
    </w:tblStylePr>
    <w:tblStylePr w:type="band1Horz">
      <w:rPr>
        <w:rFonts w:ascii="Arial" w:hAnsi="Arial"/>
        <w:color w:val="404040"/>
        <w:sz w:val="22"/>
      </w:rPr>
      <w:tblPr/>
      <w:tcPr>
        <w:tc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tcBorders>
      </w:tcPr>
    </w:tblStylePr>
  </w:style>
  <w:style w:customStyle="1" w:styleId="Bordered-Accent1" w:type="table">
    <w:name w:val="Bordered -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rFonts w:ascii="Arial" w:hAnsi="Arial"/>
        <w:color w:val="404040"/>
        <w:sz w:val="22"/>
      </w:rPr>
      <w:tblPr/>
      <w:tcPr>
        <w:tcBorders>
          <w:bottom w:color="4F81BD" w:space="0" w:sz="12" w:themeColor="accent1" w:val="single"/>
        </w:tcBorders>
      </w:tcPr>
    </w:tblStylePr>
    <w:tblStylePr w:type="lastRow">
      <w:rPr>
        <w:rFonts w:ascii="Arial" w:hAnsi="Arial"/>
        <w:color w:val="404040"/>
        <w:sz w:val="22"/>
      </w:rPr>
      <w:tblPr/>
      <w:tcPr>
        <w:tcBorders>
          <w:top w:color="4F81BD" w:space="0" w:sz="12" w:themeColor="accent1"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4F81BD" w:space="0" w:sz="12" w:themeColor="accent1" w:val="single"/>
        </w:tcBorders>
      </w:tc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customStyle="1" w:styleId="Bordered-Accent2" w:type="table">
    <w:name w:val="Bordered -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rFonts w:ascii="Arial" w:hAnsi="Arial"/>
        <w:color w:val="404040"/>
        <w:sz w:val="22"/>
      </w:rPr>
      <w:tblPr/>
      <w:tcPr>
        <w:tcBorders>
          <w:bottom w:color="D99695" w:space="0" w:sz="12" w:themeColor="accent2" w:themeTint="97" w:val="single"/>
        </w:tcBorders>
      </w:tcPr>
    </w:tblStylePr>
    <w:tblStylePr w:type="lastRow">
      <w:rPr>
        <w:rFonts w:ascii="Arial" w:hAnsi="Arial"/>
        <w:color w:val="404040"/>
        <w:sz w:val="22"/>
      </w:rPr>
      <w:tblPr/>
      <w:tcPr>
        <w:tcBorders>
          <w:top w:color="D99695" w:space="0" w:sz="12" w:themeColor="accent2" w:themeTint="97"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D99695" w:space="0" w:sz="12" w:themeColor="accent2" w:themeTint="97" w:val="single"/>
        </w:tcBorders>
      </w:tc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customStyle="1" w:styleId="Bordered-Accent3" w:type="table">
    <w:name w:val="Bordered -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rFonts w:ascii="Arial" w:hAnsi="Arial"/>
        <w:color w:val="404040"/>
        <w:sz w:val="22"/>
      </w:rPr>
      <w:tblPr/>
      <w:tcPr>
        <w:tcBorders>
          <w:bottom w:color="C3D69B" w:space="0" w:sz="12" w:themeColor="accent3" w:themeTint="98" w:val="single"/>
        </w:tcBorders>
      </w:tcPr>
    </w:tblStylePr>
    <w:tblStylePr w:type="lastRow">
      <w:rPr>
        <w:rFonts w:ascii="Arial" w:hAnsi="Arial"/>
        <w:color w:val="404040"/>
        <w:sz w:val="22"/>
      </w:rPr>
      <w:tblPr/>
      <w:tcPr>
        <w:tcBorders>
          <w:top w:color="C3D69B" w:space="0" w:sz="12" w:themeColor="accent3"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C3D69B" w:space="0" w:sz="12" w:themeColor="accent3" w:themeTint="98" w:val="single"/>
        </w:tcBorders>
      </w:tc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customStyle="1" w:styleId="Bordered-Accent4" w:type="table">
    <w:name w:val="Bordered -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rFonts w:ascii="Arial" w:hAnsi="Arial"/>
        <w:color w:val="404040"/>
        <w:sz w:val="22"/>
      </w:rPr>
      <w:tblPr/>
      <w:tcPr>
        <w:tcBorders>
          <w:bottom w:color="B2A1C6" w:space="0" w:sz="12" w:themeColor="accent4" w:themeTint="9A" w:val="single"/>
        </w:tcBorders>
      </w:tcPr>
    </w:tblStylePr>
    <w:tblStylePr w:type="lastRow">
      <w:rPr>
        <w:rFonts w:ascii="Arial" w:hAnsi="Arial"/>
        <w:color w:val="404040"/>
        <w:sz w:val="22"/>
      </w:rPr>
      <w:tblPr/>
      <w:tcPr>
        <w:tcBorders>
          <w:top w:color="B2A1C6" w:space="0" w:sz="12" w:themeColor="accent4"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B2A1C6" w:space="0" w:sz="12" w:themeColor="accent4" w:themeTint="9A" w:val="single"/>
        </w:tcBorders>
      </w:tc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customStyle="1" w:styleId="Bordered-Accent5" w:type="table">
    <w:name w:val="Bordered -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rFonts w:ascii="Arial" w:hAnsi="Arial"/>
        <w:color w:val="404040"/>
        <w:sz w:val="22"/>
      </w:rPr>
      <w:tblPr/>
      <w:tcPr>
        <w:tcBorders>
          <w:bottom w:color="92CCDC" w:space="0" w:sz="12" w:themeColor="accent5" w:themeTint="9A" w:val="single"/>
        </w:tcBorders>
      </w:tcPr>
    </w:tblStylePr>
    <w:tblStylePr w:type="lastRow">
      <w:rPr>
        <w:rFonts w:ascii="Arial" w:hAnsi="Arial"/>
        <w:color w:val="404040"/>
        <w:sz w:val="22"/>
      </w:rPr>
      <w:tblPr/>
      <w:tcPr>
        <w:tcBorders>
          <w:top w:color="92CCDC" w:space="0" w:sz="12" w:themeColor="accent5"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92CCDC" w:space="0" w:sz="12" w:themeColor="accent5" w:themeTint="9A" w:val="single"/>
        </w:tcBorders>
      </w:tc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customStyle="1" w:styleId="Bordered-Accent6" w:type="table">
    <w:name w:val="Bordered -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rFonts w:ascii="Arial" w:hAnsi="Arial"/>
        <w:color w:val="404040"/>
        <w:sz w:val="22"/>
      </w:rPr>
      <w:tblPr/>
      <w:tcPr>
        <w:tcBorders>
          <w:bottom w:color="FAC090" w:space="0" w:sz="12" w:themeColor="accent6" w:themeTint="98" w:val="single"/>
        </w:tcBorders>
      </w:tcPr>
    </w:tblStylePr>
    <w:tblStylePr w:type="lastRow">
      <w:rPr>
        <w:rFonts w:ascii="Arial" w:hAnsi="Arial"/>
        <w:color w:val="404040"/>
        <w:sz w:val="22"/>
      </w:rPr>
      <w:tblPr/>
      <w:tcPr>
        <w:tcBorders>
          <w:top w:color="FAC090" w:space="0" w:sz="12" w:themeColor="accent6"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FAC090" w:space="0" w:sz="12" w:themeColor="accent6" w:themeTint="98" w:val="single"/>
        </w:tcBorders>
      </w:tc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customStyle="1" w:styleId="FootnoteTextChar" w:type="character">
    <w:name w:val="Footnote Text Char"/>
    <w:link w:val="FootnoteText"/>
    <w:uiPriority w:val="99"/>
    <w:rPr>
      <w:sz w:val="18"/>
    </w:rPr>
  </w:style>
  <w:style w:styleId="FootnoteReference" w:type="character">
    <w:name w:val="footnote reference"/>
    <w:basedOn w:val="DefaultParagraphFont"/>
    <w:uiPriority w:val="99"/>
    <w:unhideWhenUsed/>
    <w:rPr>
      <w:vertAlign w:val="superscript"/>
    </w:rPr>
  </w:style>
  <w:style w:styleId="EndnoteText" w:type="paragraph">
    <w:name w:val="endnote text"/>
    <w:basedOn w:val="Normal"/>
    <w:link w:val="EndnoteTextChar"/>
    <w:uiPriority w:val="99"/>
    <w:semiHidden/>
    <w:unhideWhenUsed/>
    <w:pPr>
      <w:spacing w:after="0"/>
    </w:pPr>
    <w:rPr>
      <w:sz w:val="20"/>
    </w:rPr>
  </w:style>
  <w:style w:customStyle="1" w:styleId="EndnoteTextChar" w:type="character">
    <w:name w:val="Endnote Text Char"/>
    <w:link w:val="EndnoteText"/>
    <w:uiPriority w:val="99"/>
    <w:rPr>
      <w:sz w:val="20"/>
    </w:rPr>
  </w:style>
  <w:style w:styleId="EndnoteReference" w:type="character">
    <w:name w:val="endnote reference"/>
    <w:basedOn w:val="DefaultParagraphFont"/>
    <w:uiPriority w:val="99"/>
    <w:semiHidden/>
    <w:unhideWhenUsed/>
    <w:rPr>
      <w:vertAlign w:val="superscript"/>
    </w:rPr>
  </w:style>
  <w:style w:styleId="TOC1" w:type="paragraph">
    <w:name w:val="toc 1"/>
    <w:basedOn w:val="Normal"/>
    <w:next w:val="Normal"/>
    <w:uiPriority w:val="39"/>
    <w:unhideWhenUsed/>
    <w:pPr>
      <w:spacing w:after="57"/>
    </w:pPr>
  </w:style>
  <w:style w:styleId="TOC2" w:type="paragraph">
    <w:name w:val="toc 2"/>
    <w:basedOn w:val="Normal"/>
    <w:next w:val="Normal"/>
    <w:uiPriority w:val="39"/>
    <w:unhideWhenUsed/>
    <w:pPr>
      <w:spacing w:after="57"/>
      <w:ind w:left="283"/>
    </w:pPr>
  </w:style>
  <w:style w:styleId="TOC3" w:type="paragraph">
    <w:name w:val="toc 3"/>
    <w:basedOn w:val="Normal"/>
    <w:next w:val="Normal"/>
    <w:uiPriority w:val="39"/>
    <w:unhideWhenUsed/>
    <w:pPr>
      <w:spacing w:after="57"/>
      <w:ind w:left="567"/>
    </w:pPr>
  </w:style>
  <w:style w:styleId="TOC4" w:type="paragraph">
    <w:name w:val="toc 4"/>
    <w:basedOn w:val="Normal"/>
    <w:next w:val="Normal"/>
    <w:uiPriority w:val="39"/>
    <w:unhideWhenUsed/>
    <w:pPr>
      <w:spacing w:after="57"/>
      <w:ind w:left="850"/>
    </w:pPr>
  </w:style>
  <w:style w:styleId="TOC5" w:type="paragraph">
    <w:name w:val="toc 5"/>
    <w:basedOn w:val="Normal"/>
    <w:next w:val="Normal"/>
    <w:uiPriority w:val="39"/>
    <w:unhideWhenUsed/>
    <w:pPr>
      <w:spacing w:after="57"/>
      <w:ind w:left="1134"/>
    </w:pPr>
  </w:style>
  <w:style w:styleId="TOC6" w:type="paragraph">
    <w:name w:val="toc 6"/>
    <w:basedOn w:val="Normal"/>
    <w:next w:val="Normal"/>
    <w:uiPriority w:val="39"/>
    <w:unhideWhenUsed/>
    <w:pPr>
      <w:spacing w:after="57"/>
      <w:ind w:left="1417"/>
    </w:pPr>
  </w:style>
  <w:style w:styleId="TOC7" w:type="paragraph">
    <w:name w:val="toc 7"/>
    <w:basedOn w:val="Normal"/>
    <w:next w:val="Normal"/>
    <w:uiPriority w:val="39"/>
    <w:unhideWhenUsed/>
    <w:pPr>
      <w:spacing w:after="57"/>
      <w:ind w:left="1701"/>
    </w:pPr>
  </w:style>
  <w:style w:styleId="TOC8" w:type="paragraph">
    <w:name w:val="toc 8"/>
    <w:basedOn w:val="Normal"/>
    <w:next w:val="Normal"/>
    <w:uiPriority w:val="39"/>
    <w:unhideWhenUsed/>
    <w:pPr>
      <w:spacing w:after="57"/>
      <w:ind w:left="1984"/>
    </w:pPr>
  </w:style>
  <w:style w:styleId="TOC9" w:type="paragraph">
    <w:name w:val="toc 9"/>
    <w:basedOn w:val="Normal"/>
    <w:next w:val="Normal"/>
    <w:uiPriority w:val="39"/>
    <w:unhideWhenUsed/>
    <w:pPr>
      <w:spacing w:after="57"/>
      <w:ind w:left="2268"/>
    </w:pPr>
  </w:style>
  <w:style w:styleId="TableofFigures" w:type="paragraph">
    <w:name w:val="table of figures"/>
    <w:basedOn w:val="Normal"/>
    <w:next w:val="Normal"/>
    <w:uiPriority w:val="99"/>
    <w:unhideWhenUsed/>
    <w:pPr>
      <w:spacing w:after="0"/>
    </w:pPr>
  </w:style>
  <w:style w:styleId="BodyText" w:type="paragraph">
    <w:name w:val="Body Text"/>
    <w:basedOn w:val="Normal"/>
    <w:qFormat/>
    <w:pPr>
      <w:spacing w:after="180" w:before="180"/>
    </w:pPr>
  </w:style>
  <w:style w:styleId="BlockText" w:type="paragraph">
    <w:name w:val="Block Text"/>
    <w:basedOn w:val="BodyText"/>
    <w:next w:val="BodyText"/>
    <w:uiPriority w:val="9"/>
    <w:unhideWhenUsed/>
    <w:qFormat/>
    <w:pPr>
      <w:spacing w:after="100" w:before="100"/>
      <w:ind w:left="480" w:right="480"/>
    </w:pPr>
  </w:style>
  <w:style w:styleId="Caption" w:type="paragraph">
    <w:name w:val="caption"/>
    <w:basedOn w:val="Normal"/>
    <w:next w:val="Normal"/>
    <w:link w:val="CaptionChar"/>
    <w:qFormat/>
    <w:pPr>
      <w:spacing w:after="120"/>
    </w:pPr>
    <w:rPr>
      <w:i/>
    </w:rPr>
  </w:style>
  <w:style w:styleId="Date" w:type="paragraph">
    <w:name w:val="Date"/>
    <w:next w:val="BodyText"/>
    <w:qFormat/>
    <w:pPr>
      <w:keepNext/>
      <w:keepLines/>
      <w:spacing w:after="200"/>
      <w:jc w:val="center"/>
    </w:pPr>
    <w:rPr>
      <w:rFonts w:ascii="Times New Roman" w:hAnsi="Times New Roman"/>
      <w:sz w:val="24"/>
      <w:szCs w:val="24"/>
      <w:lang w:eastAsia="en-US" w:val="en-US"/>
    </w:rPr>
  </w:style>
  <w:style w:styleId="Footer" w:type="paragraph">
    <w:name w:val="footer"/>
    <w:basedOn w:val="Normal"/>
    <w:link w:val="FooterChar1"/>
    <w:qFormat/>
    <w:pPr>
      <w:tabs>
        <w:tab w:pos="4153" w:val="center"/>
        <w:tab w:pos="8306" w:val="right"/>
      </w:tabs>
    </w:pPr>
    <w:rPr>
      <w:sz w:val="18"/>
      <w:szCs w:val="18"/>
    </w:rPr>
  </w:style>
  <w:style w:styleId="FootnoteText" w:type="paragraph">
    <w:name w:val="footnote text"/>
    <w:basedOn w:val="Normal"/>
    <w:link w:val="FootnoteTextChar"/>
    <w:uiPriority w:val="9"/>
    <w:unhideWhenUsed/>
    <w:qFormat/>
  </w:style>
  <w:style w:styleId="Header" w:type="paragraph">
    <w:name w:val="header"/>
    <w:basedOn w:val="Normal"/>
    <w:link w:val="HeaderChar"/>
    <w:qFormat/>
    <w:pPr>
      <w:tabs>
        <w:tab w:pos="4153" w:val="center"/>
        <w:tab w:pos="8306" w:val="right"/>
      </w:tabs>
    </w:pPr>
    <w:rPr>
      <w:sz w:val="18"/>
      <w:szCs w:val="18"/>
    </w:rPr>
  </w:style>
  <w:style w:styleId="Hyperlink" w:type="character">
    <w:name w:val="Hyperlink"/>
    <w:basedOn w:val="CaptionChar"/>
    <w:qFormat/>
    <w:rPr>
      <w:color w:val="000000"/>
    </w:rPr>
  </w:style>
  <w:style w:customStyle="1" w:styleId="CaptionChar" w:type="character">
    <w:name w:val="Caption Char"/>
    <w:basedOn w:val="DefaultParagraphFont"/>
    <w:link w:val="Caption"/>
    <w:qFormat/>
  </w:style>
  <w:style w:styleId="Index1" w:type="paragraph">
    <w:name w:val="index 1"/>
    <w:basedOn w:val="Normal"/>
    <w:next w:val="Normal"/>
    <w:qFormat/>
  </w:style>
  <w:style w:styleId="IndexHeading" w:type="paragraph">
    <w:name w:val="index heading"/>
    <w:basedOn w:val="Heading"/>
    <w:next w:val="Index1"/>
    <w:qFormat/>
  </w:style>
  <w:style w:customStyle="1" w:styleId="Heading" w:type="paragraph">
    <w:name w:val="Heading"/>
    <w:basedOn w:val="Normal"/>
    <w:next w:val="BodyText"/>
    <w:qFormat/>
    <w:pPr>
      <w:keepNext/>
      <w:spacing w:after="120" w:before="240"/>
    </w:pPr>
    <w:rPr>
      <w:rFonts w:cs="Lohit Devanagari" w:eastAsia="Noto Sans CJK SC"/>
      <w:sz w:val="28"/>
      <w:szCs w:val="28"/>
    </w:rPr>
  </w:style>
  <w:style w:styleId="List" w:type="paragraph">
    <w:name w:val="List"/>
    <w:basedOn w:val="BodyText"/>
    <w:qFormat/>
    <w:rPr>
      <w:rFonts w:cs="Lohit Devanagari"/>
    </w:rPr>
  </w:style>
  <w:style w:styleId="Subtitle" w:type="paragraph">
    <w:name w:val="Subtitle"/>
    <w:basedOn w:val="Title"/>
    <w:next w:val="BodyText"/>
    <w:link w:val="SubtitleChar"/>
    <w:qFormat/>
    <w:pPr>
      <w:spacing w:before="240"/>
    </w:pPr>
    <w:rPr>
      <w:sz w:val="30"/>
      <w:szCs w:val="30"/>
    </w:rPr>
  </w:style>
  <w:style w:styleId="Title" w:type="paragraph">
    <w:name w:val="Title"/>
    <w:basedOn w:val="Normal"/>
    <w:next w:val="BodyText"/>
    <w:link w:val="TitleChar"/>
    <w:qFormat/>
    <w:pPr>
      <w:keepNext/>
      <w:keepLines/>
      <w:spacing w:after="240" w:before="480"/>
      <w:jc w:val="center"/>
    </w:pPr>
    <w:rPr>
      <w:rFonts w:ascii="Arial" w:cstheme="majorBidi" w:eastAsiaTheme="majorEastAsia" w:hAnsi="Arial"/>
      <w:b/>
      <w:bCs/>
      <w:color w:val="000000"/>
      <w:sz w:val="40"/>
      <w:szCs w:val="32"/>
    </w:rPr>
  </w:style>
  <w:style w:customStyle="1" w:styleId="VerbatimChar" w:type="character">
    <w:name w:val="Verbatim Char"/>
    <w:basedOn w:val="CaptionChar"/>
    <w:link w:val="SourceCode"/>
    <w:qFormat/>
    <w:rPr>
      <w:rFonts w:ascii="Consolas" w:hAnsi="Consolas"/>
      <w:sz w:val="22"/>
    </w:rPr>
  </w:style>
  <w:style w:customStyle="1" w:styleId="SourceCode" w:type="paragraph">
    <w:name w:val="Source Code"/>
    <w:basedOn w:val="Normal"/>
    <w:link w:val="VerbatimChar"/>
    <w:qFormat/>
    <w:pPr>
      <w:shd w:color="auto" w:fill="F8F8F8" w:val="clear"/>
    </w:pPr>
  </w:style>
  <w:style w:customStyle="1" w:styleId="SectionNumber" w:type="character">
    <w:name w:val="Section Number"/>
    <w:basedOn w:val="CaptionChar"/>
    <w:qFormat/>
  </w:style>
  <w:style w:customStyle="1" w:styleId="FootnoteCharacters" w:type="character">
    <w:name w:val="Footnote Characters"/>
    <w:basedOn w:val="CaptionChar"/>
    <w:qFormat/>
    <w:rPr>
      <w:vertAlign w:val="superscript"/>
    </w:rPr>
  </w:style>
  <w:style w:customStyle="1" w:styleId="FootnoteAnchor" w:type="character">
    <w:name w:val="Footnote Anchor"/>
    <w:qFormat/>
    <w:rPr>
      <w:vertAlign w:val="superscript"/>
    </w:rPr>
  </w:style>
  <w:style w:customStyle="1" w:styleId="KeywordTok" w:type="character">
    <w:name w:val="KeywordTok"/>
    <w:basedOn w:val="VerbatimChar"/>
    <w:qFormat/>
    <w:rPr>
      <w:rFonts w:ascii="Consolas" w:hAnsi="Consolas"/>
      <w:b/>
      <w:color w:val="204A87"/>
      <w:sz w:val="22"/>
      <w:shd w:color="auto" w:fill="F8F8F8" w:val="clear"/>
    </w:rPr>
  </w:style>
  <w:style w:customStyle="1" w:styleId="DataTypeTok" w:type="character">
    <w:name w:val="DataTypeTok"/>
    <w:basedOn w:val="VerbatimChar"/>
    <w:qFormat/>
    <w:rPr>
      <w:rFonts w:ascii="Consolas" w:hAnsi="Consolas"/>
      <w:color w:val="204A87"/>
      <w:sz w:val="22"/>
      <w:shd w:color="auto" w:fill="F8F8F8" w:val="clear"/>
    </w:rPr>
  </w:style>
  <w:style w:customStyle="1" w:styleId="DecValTok" w:type="character">
    <w:name w:val="DecValTok"/>
    <w:basedOn w:val="VerbatimChar"/>
    <w:qFormat/>
    <w:rPr>
      <w:rFonts w:ascii="Consolas" w:hAnsi="Consolas"/>
      <w:color w:val="0000CF"/>
      <w:sz w:val="22"/>
      <w:shd w:color="auto" w:fill="F8F8F8" w:val="clear"/>
    </w:rPr>
  </w:style>
  <w:style w:customStyle="1" w:styleId="BaseNTok" w:type="character">
    <w:name w:val="BaseNTok"/>
    <w:basedOn w:val="VerbatimChar"/>
    <w:qFormat/>
    <w:rPr>
      <w:rFonts w:ascii="Consolas" w:hAnsi="Consolas"/>
      <w:color w:val="0000CF"/>
      <w:sz w:val="22"/>
      <w:shd w:color="auto" w:fill="F8F8F8" w:val="clear"/>
    </w:rPr>
  </w:style>
  <w:style w:customStyle="1" w:styleId="FloatTok" w:type="character">
    <w:name w:val="FloatTok"/>
    <w:basedOn w:val="VerbatimChar"/>
    <w:qFormat/>
    <w:rPr>
      <w:rFonts w:ascii="Consolas" w:hAnsi="Consolas"/>
      <w:color w:val="0000CF"/>
      <w:sz w:val="22"/>
      <w:shd w:color="auto" w:fill="F8F8F8" w:val="clear"/>
    </w:rPr>
  </w:style>
  <w:style w:customStyle="1" w:styleId="ConstantTok" w:type="character">
    <w:name w:val="ConstantTok"/>
    <w:basedOn w:val="VerbatimChar"/>
    <w:qFormat/>
    <w:rPr>
      <w:rFonts w:ascii="Consolas" w:hAnsi="Consolas"/>
      <w:color w:val="000000"/>
      <w:sz w:val="22"/>
      <w:shd w:color="auto" w:fill="F8F8F8" w:val="clear"/>
    </w:rPr>
  </w:style>
  <w:style w:customStyle="1" w:styleId="CharTok" w:type="character">
    <w:name w:val="CharTok"/>
    <w:basedOn w:val="VerbatimChar"/>
    <w:qFormat/>
    <w:rPr>
      <w:rFonts w:ascii="Consolas" w:hAnsi="Consolas"/>
      <w:color w:val="4E9A06"/>
      <w:sz w:val="22"/>
      <w:shd w:color="auto" w:fill="F8F8F8" w:val="clear"/>
    </w:rPr>
  </w:style>
  <w:style w:customStyle="1" w:styleId="SpecialCharTok" w:type="character">
    <w:name w:val="SpecialCharTok"/>
    <w:basedOn w:val="VerbatimChar"/>
    <w:qFormat/>
    <w:rPr>
      <w:rFonts w:ascii="Consolas" w:hAnsi="Consolas"/>
      <w:color w:val="000000"/>
      <w:sz w:val="22"/>
      <w:shd w:color="auto" w:fill="F8F8F8" w:val="clear"/>
    </w:rPr>
  </w:style>
  <w:style w:customStyle="1" w:styleId="StringTok" w:type="character">
    <w:name w:val="StringTok"/>
    <w:basedOn w:val="VerbatimChar"/>
    <w:qFormat/>
    <w:rPr>
      <w:rFonts w:ascii="Consolas" w:hAnsi="Consolas"/>
      <w:color w:val="4E9A06"/>
      <w:sz w:val="22"/>
      <w:shd w:color="auto" w:fill="F8F8F8" w:val="clear"/>
    </w:rPr>
  </w:style>
  <w:style w:customStyle="1" w:styleId="VerbatimStringTok" w:type="character">
    <w:name w:val="VerbatimStringTok"/>
    <w:basedOn w:val="VerbatimChar"/>
    <w:qFormat/>
    <w:rPr>
      <w:rFonts w:ascii="Consolas" w:hAnsi="Consolas"/>
      <w:color w:val="4E9A06"/>
      <w:sz w:val="22"/>
      <w:shd w:color="auto" w:fill="F8F8F8" w:val="clear"/>
    </w:rPr>
  </w:style>
  <w:style w:customStyle="1" w:styleId="SpecialStringTok" w:type="character">
    <w:name w:val="SpecialStringTok"/>
    <w:basedOn w:val="VerbatimChar"/>
    <w:qFormat/>
    <w:rPr>
      <w:rFonts w:ascii="Consolas" w:hAnsi="Consolas"/>
      <w:color w:val="4E9A06"/>
      <w:sz w:val="22"/>
      <w:shd w:color="auto" w:fill="F8F8F8" w:val="clear"/>
    </w:rPr>
  </w:style>
  <w:style w:customStyle="1" w:styleId="ImportTok" w:type="character">
    <w:name w:val="ImportTok"/>
    <w:basedOn w:val="VerbatimChar"/>
    <w:qFormat/>
    <w:rPr>
      <w:rFonts w:ascii="Consolas" w:hAnsi="Consolas"/>
      <w:sz w:val="22"/>
      <w:shd w:color="auto" w:fill="F8F8F8" w:val="clear"/>
    </w:rPr>
  </w:style>
  <w:style w:customStyle="1" w:styleId="CommentTok" w:type="character">
    <w:name w:val="CommentTok"/>
    <w:basedOn w:val="VerbatimChar"/>
    <w:qFormat/>
    <w:rPr>
      <w:rFonts w:ascii="Consolas" w:hAnsi="Consolas"/>
      <w:i/>
      <w:color w:val="8F5902"/>
      <w:sz w:val="22"/>
      <w:shd w:color="auto" w:fill="F8F8F8" w:val="clear"/>
    </w:rPr>
  </w:style>
  <w:style w:customStyle="1" w:styleId="DocumentationTok" w:type="character">
    <w:name w:val="DocumentationTok"/>
    <w:basedOn w:val="VerbatimChar"/>
    <w:qFormat/>
    <w:rPr>
      <w:rFonts w:ascii="Consolas" w:hAnsi="Consolas"/>
      <w:b/>
      <w:i/>
      <w:color w:val="8F5902"/>
      <w:sz w:val="22"/>
      <w:shd w:color="auto" w:fill="F8F8F8" w:val="clear"/>
    </w:rPr>
  </w:style>
  <w:style w:customStyle="1" w:styleId="AnnotationTok" w:type="character">
    <w:name w:val="AnnotationTok"/>
    <w:basedOn w:val="VerbatimChar"/>
    <w:qFormat/>
    <w:rPr>
      <w:rFonts w:ascii="Consolas" w:hAnsi="Consolas"/>
      <w:b/>
      <w:i/>
      <w:color w:val="8F5902"/>
      <w:sz w:val="22"/>
      <w:shd w:color="auto" w:fill="F8F8F8" w:val="clear"/>
    </w:rPr>
  </w:style>
  <w:style w:customStyle="1" w:styleId="CommentVarTok" w:type="character">
    <w:name w:val="CommentVarTok"/>
    <w:basedOn w:val="VerbatimChar"/>
    <w:qFormat/>
    <w:rPr>
      <w:rFonts w:ascii="Consolas" w:hAnsi="Consolas"/>
      <w:b/>
      <w:i/>
      <w:color w:val="8F5902"/>
      <w:sz w:val="22"/>
      <w:shd w:color="auto" w:fill="F8F8F8" w:val="clear"/>
    </w:rPr>
  </w:style>
  <w:style w:customStyle="1" w:styleId="OtherTok" w:type="character">
    <w:name w:val="OtherTok"/>
    <w:basedOn w:val="VerbatimChar"/>
    <w:qFormat/>
    <w:rPr>
      <w:rFonts w:ascii="Consolas" w:hAnsi="Consolas"/>
      <w:color w:val="8F5902"/>
      <w:sz w:val="22"/>
      <w:shd w:color="auto" w:fill="F8F8F8" w:val="clear"/>
    </w:rPr>
  </w:style>
  <w:style w:customStyle="1" w:styleId="FunctionTok" w:type="character">
    <w:name w:val="FunctionTok"/>
    <w:basedOn w:val="VerbatimChar"/>
    <w:qFormat/>
    <w:rPr>
      <w:rFonts w:ascii="Consolas" w:hAnsi="Consolas"/>
      <w:color w:val="000000"/>
      <w:sz w:val="22"/>
      <w:shd w:color="auto" w:fill="F8F8F8" w:val="clear"/>
    </w:rPr>
  </w:style>
  <w:style w:customStyle="1" w:styleId="VariableTok" w:type="character">
    <w:name w:val="VariableTok"/>
    <w:basedOn w:val="VerbatimChar"/>
    <w:qFormat/>
    <w:rPr>
      <w:rFonts w:ascii="Consolas" w:hAnsi="Consolas"/>
      <w:color w:val="000000"/>
      <w:sz w:val="22"/>
      <w:shd w:color="auto" w:fill="F8F8F8" w:val="clear"/>
    </w:rPr>
  </w:style>
  <w:style w:customStyle="1" w:styleId="ControlFlowTok" w:type="character">
    <w:name w:val="ControlFlowTok"/>
    <w:basedOn w:val="VerbatimChar"/>
    <w:qFormat/>
    <w:rPr>
      <w:rFonts w:ascii="Consolas" w:hAnsi="Consolas"/>
      <w:b/>
      <w:color w:val="204A87"/>
      <w:sz w:val="22"/>
      <w:shd w:color="auto" w:fill="F8F8F8" w:val="clear"/>
    </w:rPr>
  </w:style>
  <w:style w:customStyle="1" w:styleId="OperatorTok" w:type="character">
    <w:name w:val="OperatorTok"/>
    <w:basedOn w:val="VerbatimChar"/>
    <w:qFormat/>
    <w:rPr>
      <w:rFonts w:ascii="Consolas" w:hAnsi="Consolas"/>
      <w:b/>
      <w:color w:val="CE5C00"/>
      <w:sz w:val="22"/>
      <w:shd w:color="auto" w:fill="F8F8F8" w:val="clear"/>
    </w:rPr>
  </w:style>
  <w:style w:customStyle="1" w:styleId="BuiltInTok" w:type="character">
    <w:name w:val="BuiltInTok"/>
    <w:basedOn w:val="VerbatimChar"/>
    <w:qFormat/>
    <w:rPr>
      <w:rFonts w:ascii="Consolas" w:hAnsi="Consolas"/>
      <w:sz w:val="22"/>
      <w:shd w:color="auto" w:fill="F8F8F8" w:val="clear"/>
    </w:rPr>
  </w:style>
  <w:style w:customStyle="1" w:styleId="ExtensionTok" w:type="character">
    <w:name w:val="ExtensionTok"/>
    <w:basedOn w:val="VerbatimChar"/>
    <w:qFormat/>
    <w:rPr>
      <w:rFonts w:ascii="Consolas" w:hAnsi="Consolas"/>
      <w:sz w:val="22"/>
      <w:shd w:color="auto" w:fill="F8F8F8" w:val="clear"/>
    </w:rPr>
  </w:style>
  <w:style w:customStyle="1" w:styleId="PreprocessorTok" w:type="character">
    <w:name w:val="PreprocessorTok"/>
    <w:basedOn w:val="VerbatimChar"/>
    <w:qFormat/>
    <w:rPr>
      <w:rFonts w:ascii="Consolas" w:hAnsi="Consolas"/>
      <w:i/>
      <w:color w:val="8F5902"/>
      <w:sz w:val="22"/>
      <w:shd w:color="auto" w:fill="F8F8F8" w:val="clear"/>
    </w:rPr>
  </w:style>
  <w:style w:customStyle="1" w:styleId="AttributeTok" w:type="character">
    <w:name w:val="AttributeTok"/>
    <w:basedOn w:val="VerbatimChar"/>
    <w:qFormat/>
    <w:rPr>
      <w:rFonts w:ascii="Consolas" w:hAnsi="Consolas"/>
      <w:color w:val="C4A000"/>
      <w:sz w:val="22"/>
      <w:shd w:color="auto" w:fill="F8F8F8" w:val="clear"/>
    </w:rPr>
  </w:style>
  <w:style w:customStyle="1" w:styleId="RegionMarkerTok" w:type="character">
    <w:name w:val="RegionMarkerTok"/>
    <w:basedOn w:val="VerbatimChar"/>
    <w:qFormat/>
    <w:rPr>
      <w:rFonts w:ascii="Consolas" w:hAnsi="Consolas"/>
      <w:sz w:val="22"/>
      <w:shd w:color="auto" w:fill="F8F8F8" w:val="clear"/>
    </w:rPr>
  </w:style>
  <w:style w:customStyle="1" w:styleId="InformationTok" w:type="character">
    <w:name w:val="InformationTok"/>
    <w:basedOn w:val="VerbatimChar"/>
    <w:qFormat/>
    <w:rPr>
      <w:rFonts w:ascii="Consolas" w:hAnsi="Consolas"/>
      <w:b/>
      <w:i/>
      <w:color w:val="8F5902"/>
      <w:sz w:val="22"/>
      <w:shd w:color="auto" w:fill="F8F8F8" w:val="clear"/>
    </w:rPr>
  </w:style>
  <w:style w:customStyle="1" w:styleId="WarningTok" w:type="character">
    <w:name w:val="WarningTok"/>
    <w:basedOn w:val="VerbatimChar"/>
    <w:qFormat/>
    <w:rPr>
      <w:rFonts w:ascii="Consolas" w:hAnsi="Consolas"/>
      <w:b/>
      <w:i/>
      <w:color w:val="8F5902"/>
      <w:sz w:val="22"/>
      <w:shd w:color="auto" w:fill="F8F8F8" w:val="clear"/>
    </w:rPr>
  </w:style>
  <w:style w:customStyle="1" w:styleId="AlertTok" w:type="character">
    <w:name w:val="AlertTok"/>
    <w:basedOn w:val="VerbatimChar"/>
    <w:qFormat/>
    <w:rPr>
      <w:rFonts w:ascii="Consolas" w:hAnsi="Consolas"/>
      <w:color w:val="EF2929"/>
      <w:sz w:val="22"/>
      <w:shd w:color="auto" w:fill="F8F8F8" w:val="clear"/>
    </w:rPr>
  </w:style>
  <w:style w:customStyle="1" w:styleId="ErrorTok" w:type="character">
    <w:name w:val="ErrorTok"/>
    <w:basedOn w:val="VerbatimChar"/>
    <w:qFormat/>
    <w:rPr>
      <w:rFonts w:ascii="Consolas" w:hAnsi="Consolas"/>
      <w:b/>
      <w:color w:val="A40000"/>
      <w:sz w:val="22"/>
      <w:shd w:color="auto" w:fill="F8F8F8" w:val="clear"/>
    </w:rPr>
  </w:style>
  <w:style w:customStyle="1" w:styleId="NormalTok" w:type="character">
    <w:name w:val="NormalTok"/>
    <w:basedOn w:val="VerbatimChar"/>
    <w:qFormat/>
    <w:rPr>
      <w:rFonts w:ascii="Consolas" w:hAnsi="Consolas"/>
      <w:sz w:val="22"/>
      <w:shd w:color="auto" w:fill="F8F8F8" w:val="clear"/>
    </w:rPr>
  </w:style>
  <w:style w:customStyle="1"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customStyle="1" w:styleId="Author" w:type="paragraph">
    <w:name w:val="Author"/>
    <w:next w:val="BodyText"/>
    <w:qFormat/>
    <w:pPr>
      <w:keepNext/>
      <w:keepLines/>
      <w:spacing w:after="200"/>
      <w:jc w:val="center"/>
    </w:pPr>
    <w:rPr>
      <w:rFonts w:ascii="Times New Roman" w:eastAsiaTheme="minorEastAsia" w:hAnsi="Times New Roman"/>
      <w:sz w:val="28"/>
      <w:szCs w:val="24"/>
      <w:lang w:eastAsia="en-US" w:val="en-US"/>
    </w:rPr>
  </w:style>
  <w:style w:customStyle="1" w:styleId="Abstract" w:type="paragraph">
    <w:name w:val="Abstract"/>
    <w:basedOn w:val="Normal"/>
    <w:next w:val="BodyText"/>
    <w:qFormat/>
    <w:pPr>
      <w:keepNext/>
      <w:keepLines/>
      <w:spacing w:after="300" w:before="300"/>
    </w:pPr>
    <w:rPr>
      <w:sz w:val="20"/>
      <w:szCs w:val="20"/>
    </w:rPr>
  </w:style>
  <w:style w:customStyle="1" w:styleId="Bibliography1" w:type="paragraph">
    <w:name w:val="Bibliography1"/>
    <w:basedOn w:val="Normal"/>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spacing w:after="119" w:before="170"/>
      <w:jc w:val="center"/>
    </w:pPr>
    <w:rPr>
      <w:i w:val="0"/>
      <w:sz w:val="18"/>
      <w:szCs w:val="16"/>
    </w:rPr>
  </w:style>
  <w:style w:customStyle="1" w:styleId="ImageCaption" w:type="paragraph">
    <w:name w:val="Image Caption"/>
    <w:basedOn w:val="Caption"/>
    <w:qFormat/>
    <w:rsid w:val="0032758C"/>
    <w:pPr>
      <w:spacing w:after="176" w:before="200"/>
    </w:pPr>
    <w:rPr>
      <w:i w:val="0"/>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customStyle="1" w:styleId="TOCHeading1" w:type="paragraph">
    <w:name w:val="TOC Heading1"/>
    <w:basedOn w:val="Heading1"/>
    <w:next w:val="BodyText"/>
    <w:uiPriority w:val="39"/>
    <w:unhideWhenUsed/>
    <w:qFormat/>
    <w:pPr>
      <w:numPr>
        <w:numId w:val="0"/>
      </w:numPr>
      <w:spacing w:after="0" w:before="240" w:line="259" w:lineRule="auto"/>
      <w:outlineLvl w:val="9"/>
    </w:pPr>
    <w:rPr>
      <w:rFonts w:asciiTheme="majorHAnsi" w:hAnsiTheme="majorHAnsi"/>
      <w:b w:val="0"/>
      <w:bCs w:val="0"/>
      <w:color w:themeColor="accent1" w:themeShade="BF" w:val="365F91"/>
    </w:rPr>
  </w:style>
  <w:style w:customStyle="1" w:styleId="TableContents" w:type="paragraph">
    <w:name w:val="Table Contents"/>
    <w:basedOn w:val="Normal"/>
    <w:qFormat/>
    <w:pPr>
      <w:widowControl w:val="0"/>
      <w:suppressLineNumbers/>
      <w:jc w:val="center"/>
    </w:pPr>
  </w:style>
  <w:style w:customStyle="1" w:styleId="TableHeading" w:type="paragraph">
    <w:name w:val="Table Heading"/>
    <w:basedOn w:val="TableContents"/>
    <w:qFormat/>
    <w:rPr>
      <w:b/>
      <w:bCs/>
    </w:rPr>
  </w:style>
  <w:style w:customStyle="1" w:styleId="Table" w:type="table">
    <w:name w:val="Table"/>
    <w:semiHidden/>
    <w:unhideWhenUsed/>
    <w:qFormat/>
    <w:tblPr>
      <w:tblCellMar>
        <w:top w:type="dxa" w:w="0"/>
        <w:left w:type="dxa" w:w="108"/>
        <w:bottom w:type="dxa" w:w="0"/>
        <w:right w:type="dxa" w:w="108"/>
      </w:tblCellMar>
    </w:tblPr>
    <w:tblStylePr w:type="firstRow">
      <w:tblPr/>
      <w:tcPr>
        <w:tcBorders>
          <w:bottom w:color="000000" w:space="0" w:sz="0" w:val="single"/>
        </w:tcBorders>
        <w:vAlign w:val="bottom"/>
      </w:tcPr>
    </w:tblStylePr>
  </w:style>
  <w:style w:styleId="LineNumber" w:type="character">
    <w:name w:val="line number"/>
    <w:basedOn w:val="DefaultParagraphFont"/>
    <w:uiPriority w:val="99"/>
    <w:semiHidden/>
    <w:unhideWhenUsed/>
    <w:rsid w:val="00327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5" Target="media/rId95.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hyperlink" Id="rId134" Target="https://doi.org/10.1002/(SICI)1099-1085(199808/09)12:10/11&lt;1611::AID-HYP684&gt;3.0.CO;2-4" TargetMode="External" /><Relationship Type="http://schemas.openxmlformats.org/officeDocument/2006/relationships/hyperlink" Id="rId169" Target="https://doi.org/10.1002/(SICI)1099-1085(199812)12:15&lt;2317::AID-HYP799&gt;3.0.CO;2-X" TargetMode="External" /><Relationship Type="http://schemas.openxmlformats.org/officeDocument/2006/relationships/hyperlink" Id="rId161" Target="https://doi.org/10.1002/(SICI)1099-1085(199910)13:14/15&lt;2345::AID-HYP873&gt;3.0.CO;2-N" TargetMode="External" /><Relationship Type="http://schemas.openxmlformats.org/officeDocument/2006/relationships/hyperlink" Id="rId167" Target="https://doi.org/10.1002/(sici)1099-1085(199709)11:11&lt;1451::aid-hyp449&gt;3.0.co;2-q" TargetMode="External" /><Relationship Type="http://schemas.openxmlformats.org/officeDocument/2006/relationships/hyperlink" Id="rId159" Target="https://doi.org/10.1002/1099-1085(20001030)14:15&lt;2669::AID-HYP85&gt;3.0.CO;2-Q" TargetMode="External" /><Relationship Type="http://schemas.openxmlformats.org/officeDocument/2006/relationships/hyperlink" Id="rId155" Target="https://doi.org/10.1002/2014WR016724" TargetMode="External" /><Relationship Type="http://schemas.openxmlformats.org/officeDocument/2006/relationships/hyperlink" Id="rId132" Target="https://doi.org/10.1002/eco.2203" TargetMode="External" /><Relationship Type="http://schemas.openxmlformats.org/officeDocument/2006/relationships/hyperlink" Id="rId147" Target="https://doi.org/10.1002/hyp.13986" TargetMode="External" /><Relationship Type="http://schemas.openxmlformats.org/officeDocument/2006/relationships/hyperlink" Id="rId152" Target="https://doi.org/10.1002/hyp.14274" TargetMode="External" /><Relationship Type="http://schemas.openxmlformats.org/officeDocument/2006/relationships/hyperlink" Id="rId139" Target="https://doi.org/10.1002/hyp.14922" TargetMode="External" /><Relationship Type="http://schemas.openxmlformats.org/officeDocument/2006/relationships/hyperlink" Id="rId188" Target="https://doi.org/10.1002/hyp.15005" TargetMode="External" /><Relationship Type="http://schemas.openxmlformats.org/officeDocument/2006/relationships/hyperlink" Id="rId165" Target="https://doi.org/10.1002/hyp.9248" TargetMode="External" /><Relationship Type="http://schemas.openxmlformats.org/officeDocument/2006/relationships/hyperlink" Id="rId128" Target="https://doi.org/10.1002/hyp.9799" TargetMode="External" /><Relationship Type="http://schemas.openxmlformats.org/officeDocument/2006/relationships/hyperlink" Id="rId109" Target="https://doi.org/10.1002/wat2.70010" TargetMode="External" /><Relationship Type="http://schemas.openxmlformats.org/officeDocument/2006/relationships/hyperlink" Id="rId116" Target="https://doi.org/10.1002/wrcr.20089" TargetMode="External" /><Relationship Type="http://schemas.openxmlformats.org/officeDocument/2006/relationships/hyperlink" Id="rId175" Target="https://doi.org/10.1007/s003820100153" TargetMode="External" /><Relationship Type="http://schemas.openxmlformats.org/officeDocument/2006/relationships/hyperlink" Id="rId185" Target="https://doi.org/10.1016/0022-1694(89)90196-0" TargetMode="External" /><Relationship Type="http://schemas.openxmlformats.org/officeDocument/2006/relationships/hyperlink" Id="rId136" Target="https://doi.org/10.1016/0022-1694(94)02643-P" TargetMode="External" /><Relationship Type="http://schemas.openxmlformats.org/officeDocument/2006/relationships/hyperlink" Id="rId143" Target="https://doi.org/10.1016/0165-232X(87)90005-X" TargetMode="External" /><Relationship Type="http://schemas.openxmlformats.org/officeDocument/2006/relationships/hyperlink" Id="rId194" Target="https://doi.org/10.1016/S0022-1694(96)03066-1" TargetMode="External" /><Relationship Type="http://schemas.openxmlformats.org/officeDocument/2006/relationships/hyperlink" Id="rId196" Target="https://doi.org/10.1016/j.agrformet.2011.05.008" TargetMode="External" /><Relationship Type="http://schemas.openxmlformats.org/officeDocument/2006/relationships/hyperlink" Id="rId157" Target="https://doi.org/10.1016/j.agrformet.2015.03.014" TargetMode="External" /><Relationship Type="http://schemas.openxmlformats.org/officeDocument/2006/relationships/hyperlink" Id="rId198" Target="https://doi.org/10.1016/j.jhydrol.2010.08.009" TargetMode="External" /><Relationship Type="http://schemas.openxmlformats.org/officeDocument/2006/relationships/hyperlink" Id="rId163" Target="https://doi.org/10.1016/j.jhydrol.2022.128711" TargetMode="External" /><Relationship Type="http://schemas.openxmlformats.org/officeDocument/2006/relationships/hyperlink" Id="rId190" Target="https://doi.org/10.1029/2002wr001281" TargetMode="External" /><Relationship Type="http://schemas.openxmlformats.org/officeDocument/2006/relationships/hyperlink" Id="rId106" Target="https://doi.org/10.1029/2008WR007042" TargetMode="External" /><Relationship Type="http://schemas.openxmlformats.org/officeDocument/2006/relationships/hyperlink" Id="rId177" Target="https://doi.org/10.1029/2018WR024089" TargetMode="External" /><Relationship Type="http://schemas.openxmlformats.org/officeDocument/2006/relationships/hyperlink" Id="rId173" Target="https://doi.org/10.1029/2019WR024914" TargetMode="External" /><Relationship Type="http://schemas.openxmlformats.org/officeDocument/2006/relationships/hyperlink" Id="rId179" Target="https://doi.org/10.1029/2020WR027522" TargetMode="External" /><Relationship Type="http://schemas.openxmlformats.org/officeDocument/2006/relationships/hyperlink" Id="rId149" Target="https://doi.org/10.1029/2021WR030852" TargetMode="External" /><Relationship Type="http://schemas.openxmlformats.org/officeDocument/2006/relationships/hyperlink" Id="rId181" Target="https://doi.org/10.1029/WR003i004p01035" TargetMode="External" /><Relationship Type="http://schemas.openxmlformats.org/officeDocument/2006/relationships/hyperlink" Id="rId141" Target="https://doi.org/10.1109/IGARSS.2017.8127222" TargetMode="External" /><Relationship Type="http://schemas.openxmlformats.org/officeDocument/2006/relationships/hyperlink" Id="rId192" Target="https://doi.org/10.1111/j.1752-1688.1983.tb04593.x" TargetMode="External" /><Relationship Type="http://schemas.openxmlformats.org/officeDocument/2006/relationships/hyperlink" Id="rId126" Target="https://doi.org/10.1139/x78-057" TargetMode="External" /><Relationship Type="http://schemas.openxmlformats.org/officeDocument/2006/relationships/hyperlink" Id="rId183" Target="https://doi.org/10.1139/x91-176" TargetMode="External" /><Relationship Type="http://schemas.openxmlformats.org/officeDocument/2006/relationships/hyperlink" Id="rId118" Target="https://doi.org/10.1175/1520-0442(2003)016&lt;1855:SOSFCF&gt;2.0.CO;2" TargetMode="External" /><Relationship Type="http://schemas.openxmlformats.org/officeDocument/2006/relationships/hyperlink" Id="rId112" Target="https://doi.org/10.1175/1520-0450(1965)004&lt;0517:AMMFAF&gt;2.0.CO;2" TargetMode="External" /><Relationship Type="http://schemas.openxmlformats.org/officeDocument/2006/relationships/hyperlink" Id="rId124" Target="https://doi.org/10.1175/1525-7541(2004)005&lt;0785:MFCIOS&gt;2.0.CO;2" TargetMode="External" /><Relationship Type="http://schemas.openxmlformats.org/officeDocument/2006/relationships/hyperlink" Id="rId122" Target="https://doi.org/10.2307/2403766" TargetMode="External" /><Relationship Type="http://schemas.openxmlformats.org/officeDocument/2006/relationships/hyperlink" Id="rId201" Target="https://doi.org/10.5194/essd-13-4603-2021" TargetMode="External" /><Relationship Type="http://schemas.openxmlformats.org/officeDocument/2006/relationships/hyperlink" Id="rId114" Target="https://doi.org/10.5194/hess-14-925-2010" TargetMode="External" /><Relationship Type="http://schemas.openxmlformats.org/officeDocument/2006/relationships/hyperlink" Id="rId204" Target="https://doi.org/10.5194/hess-26-5647-2022" TargetMode="External" /><Relationship Type="http://schemas.openxmlformats.org/officeDocument/2006/relationships/hyperlink" Id="rId130" Target="https://doi.org/10.5194/tc-14-1919-2020" TargetMode="External" /><Relationship Type="http://schemas.openxmlformats.org/officeDocument/2006/relationships/hyperlink" Id="rId145" Target="https://doi.org/10.5558/tfc71326-3" TargetMode="External" /><Relationship Type="http://schemas.openxmlformats.org/officeDocument/2006/relationships/hyperlink" Id="rId120" Target="https://dx.doi.org/10.14288/1.0073024" TargetMode="External" /></Relationships>
</file>

<file path=word/_rels/footnotes.xml.rels><?xml version="1.0" encoding="UTF-8"?><Relationships xmlns="http://schemas.openxmlformats.org/package/2006/relationships"><Relationship Type="http://schemas.openxmlformats.org/officeDocument/2006/relationships/hyperlink" Id="rId134" Target="https://doi.org/10.1002/(SICI)1099-1085(199808/09)12:10/11&lt;1611::AID-HYP684&gt;3.0.CO;2-4" TargetMode="External" /><Relationship Type="http://schemas.openxmlformats.org/officeDocument/2006/relationships/hyperlink" Id="rId169" Target="https://doi.org/10.1002/(SICI)1099-1085(199812)12:15&lt;2317::AID-HYP799&gt;3.0.CO;2-X" TargetMode="External" /><Relationship Type="http://schemas.openxmlformats.org/officeDocument/2006/relationships/hyperlink" Id="rId161" Target="https://doi.org/10.1002/(SICI)1099-1085(199910)13:14/15&lt;2345::AID-HYP873&gt;3.0.CO;2-N" TargetMode="External" /><Relationship Type="http://schemas.openxmlformats.org/officeDocument/2006/relationships/hyperlink" Id="rId167" Target="https://doi.org/10.1002/(sici)1099-1085(199709)11:11&lt;1451::aid-hyp449&gt;3.0.co;2-q" TargetMode="External" /><Relationship Type="http://schemas.openxmlformats.org/officeDocument/2006/relationships/hyperlink" Id="rId159" Target="https://doi.org/10.1002/1099-1085(20001030)14:15&lt;2669::AID-HYP85&gt;3.0.CO;2-Q" TargetMode="External" /><Relationship Type="http://schemas.openxmlformats.org/officeDocument/2006/relationships/hyperlink" Id="rId155" Target="https://doi.org/10.1002/2014WR016724" TargetMode="External" /><Relationship Type="http://schemas.openxmlformats.org/officeDocument/2006/relationships/hyperlink" Id="rId132" Target="https://doi.org/10.1002/eco.2203" TargetMode="External" /><Relationship Type="http://schemas.openxmlformats.org/officeDocument/2006/relationships/hyperlink" Id="rId147" Target="https://doi.org/10.1002/hyp.13986" TargetMode="External" /><Relationship Type="http://schemas.openxmlformats.org/officeDocument/2006/relationships/hyperlink" Id="rId152" Target="https://doi.org/10.1002/hyp.14274" TargetMode="External" /><Relationship Type="http://schemas.openxmlformats.org/officeDocument/2006/relationships/hyperlink" Id="rId139" Target="https://doi.org/10.1002/hyp.14922" TargetMode="External" /><Relationship Type="http://schemas.openxmlformats.org/officeDocument/2006/relationships/hyperlink" Id="rId188" Target="https://doi.org/10.1002/hyp.15005" TargetMode="External" /><Relationship Type="http://schemas.openxmlformats.org/officeDocument/2006/relationships/hyperlink" Id="rId165" Target="https://doi.org/10.1002/hyp.9248" TargetMode="External" /><Relationship Type="http://schemas.openxmlformats.org/officeDocument/2006/relationships/hyperlink" Id="rId128" Target="https://doi.org/10.1002/hyp.9799" TargetMode="External" /><Relationship Type="http://schemas.openxmlformats.org/officeDocument/2006/relationships/hyperlink" Id="rId109" Target="https://doi.org/10.1002/wat2.70010" TargetMode="External" /><Relationship Type="http://schemas.openxmlformats.org/officeDocument/2006/relationships/hyperlink" Id="rId116" Target="https://doi.org/10.1002/wrcr.20089" TargetMode="External" /><Relationship Type="http://schemas.openxmlformats.org/officeDocument/2006/relationships/hyperlink" Id="rId175" Target="https://doi.org/10.1007/s003820100153" TargetMode="External" /><Relationship Type="http://schemas.openxmlformats.org/officeDocument/2006/relationships/hyperlink" Id="rId185" Target="https://doi.org/10.1016/0022-1694(89)90196-0" TargetMode="External" /><Relationship Type="http://schemas.openxmlformats.org/officeDocument/2006/relationships/hyperlink" Id="rId136" Target="https://doi.org/10.1016/0022-1694(94)02643-P" TargetMode="External" /><Relationship Type="http://schemas.openxmlformats.org/officeDocument/2006/relationships/hyperlink" Id="rId143" Target="https://doi.org/10.1016/0165-232X(87)90005-X" TargetMode="External" /><Relationship Type="http://schemas.openxmlformats.org/officeDocument/2006/relationships/hyperlink" Id="rId194" Target="https://doi.org/10.1016/S0022-1694(96)03066-1" TargetMode="External" /><Relationship Type="http://schemas.openxmlformats.org/officeDocument/2006/relationships/hyperlink" Id="rId196" Target="https://doi.org/10.1016/j.agrformet.2011.05.008" TargetMode="External" /><Relationship Type="http://schemas.openxmlformats.org/officeDocument/2006/relationships/hyperlink" Id="rId157" Target="https://doi.org/10.1016/j.agrformet.2015.03.014" TargetMode="External" /><Relationship Type="http://schemas.openxmlformats.org/officeDocument/2006/relationships/hyperlink" Id="rId198" Target="https://doi.org/10.1016/j.jhydrol.2010.08.009" TargetMode="External" /><Relationship Type="http://schemas.openxmlformats.org/officeDocument/2006/relationships/hyperlink" Id="rId163" Target="https://doi.org/10.1016/j.jhydrol.2022.128711" TargetMode="External" /><Relationship Type="http://schemas.openxmlformats.org/officeDocument/2006/relationships/hyperlink" Id="rId190" Target="https://doi.org/10.1029/2002wr001281" TargetMode="External" /><Relationship Type="http://schemas.openxmlformats.org/officeDocument/2006/relationships/hyperlink" Id="rId106" Target="https://doi.org/10.1029/2008WR007042" TargetMode="External" /><Relationship Type="http://schemas.openxmlformats.org/officeDocument/2006/relationships/hyperlink" Id="rId177" Target="https://doi.org/10.1029/2018WR024089" TargetMode="External" /><Relationship Type="http://schemas.openxmlformats.org/officeDocument/2006/relationships/hyperlink" Id="rId173" Target="https://doi.org/10.1029/2019WR024914" TargetMode="External" /><Relationship Type="http://schemas.openxmlformats.org/officeDocument/2006/relationships/hyperlink" Id="rId179" Target="https://doi.org/10.1029/2020WR027522" TargetMode="External" /><Relationship Type="http://schemas.openxmlformats.org/officeDocument/2006/relationships/hyperlink" Id="rId149" Target="https://doi.org/10.1029/2021WR030852" TargetMode="External" /><Relationship Type="http://schemas.openxmlformats.org/officeDocument/2006/relationships/hyperlink" Id="rId181" Target="https://doi.org/10.1029/WR003i004p01035" TargetMode="External" /><Relationship Type="http://schemas.openxmlformats.org/officeDocument/2006/relationships/hyperlink" Id="rId141" Target="https://doi.org/10.1109/IGARSS.2017.8127222" TargetMode="External" /><Relationship Type="http://schemas.openxmlformats.org/officeDocument/2006/relationships/hyperlink" Id="rId192" Target="https://doi.org/10.1111/j.1752-1688.1983.tb04593.x" TargetMode="External" /><Relationship Type="http://schemas.openxmlformats.org/officeDocument/2006/relationships/hyperlink" Id="rId126" Target="https://doi.org/10.1139/x78-057" TargetMode="External" /><Relationship Type="http://schemas.openxmlformats.org/officeDocument/2006/relationships/hyperlink" Id="rId183" Target="https://doi.org/10.1139/x91-176" TargetMode="External" /><Relationship Type="http://schemas.openxmlformats.org/officeDocument/2006/relationships/hyperlink" Id="rId118" Target="https://doi.org/10.1175/1520-0442(2003)016&lt;1855:SOSFCF&gt;2.0.CO;2" TargetMode="External" /><Relationship Type="http://schemas.openxmlformats.org/officeDocument/2006/relationships/hyperlink" Id="rId112" Target="https://doi.org/10.1175/1520-0450(1965)004&lt;0517:AMMFAF&gt;2.0.CO;2" TargetMode="External" /><Relationship Type="http://schemas.openxmlformats.org/officeDocument/2006/relationships/hyperlink" Id="rId124" Target="https://doi.org/10.1175/1525-7541(2004)005&lt;0785:MFCIOS&gt;2.0.CO;2" TargetMode="External" /><Relationship Type="http://schemas.openxmlformats.org/officeDocument/2006/relationships/hyperlink" Id="rId122" Target="https://doi.org/10.2307/2403766" TargetMode="External" /><Relationship Type="http://schemas.openxmlformats.org/officeDocument/2006/relationships/hyperlink" Id="rId201" Target="https://doi.org/10.5194/essd-13-4603-2021" TargetMode="External" /><Relationship Type="http://schemas.openxmlformats.org/officeDocument/2006/relationships/hyperlink" Id="rId114" Target="https://doi.org/10.5194/hess-14-925-2010" TargetMode="External" /><Relationship Type="http://schemas.openxmlformats.org/officeDocument/2006/relationships/hyperlink" Id="rId204" Target="https://doi.org/10.5194/hess-26-5647-2022" TargetMode="External" /><Relationship Type="http://schemas.openxmlformats.org/officeDocument/2006/relationships/hyperlink" Id="rId130" Target="https://doi.org/10.5194/tc-14-1919-2020" TargetMode="External" /><Relationship Type="http://schemas.openxmlformats.org/officeDocument/2006/relationships/hyperlink" Id="rId145" Target="https://doi.org/10.5558/tfc71326-3" TargetMode="External" /><Relationship Type="http://schemas.openxmlformats.org/officeDocument/2006/relationships/hyperlink" Id="rId120" Target="https://dx.doi.org/10.14288/1.00730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35</Pages>
  <Words>12527</Words>
  <Characters>71408</Characters>
  <Application>Microsoft Office Word</Application>
  <DocSecurity>0</DocSecurity>
  <Lines>595</Lines>
  <Paragraphs>167</Paragraphs>
  <ScaleCrop>false</ScaleCrop>
  <Company/>
  <LinksUpToDate>false</LinksUpToDate>
  <CharactersWithSpaces>83768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Density in a Subalpine Forest</dc:title>
  <dc:creator/>
  <cp:keywords/>
  <dcterms:created xsi:type="dcterms:W3CDTF">2025-03-12T00:01:16Z</dcterms:created>
  <dcterms:modified xsi:type="dcterms:W3CDTF">2025-03-12T00:01:16Z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../../papers/bibtex/zotero-library.bib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